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F27B" w14:textId="77777777" w:rsidR="006237BF" w:rsidRDefault="006237BF" w:rsidP="006237BF">
      <w:pPr>
        <w:jc w:val="center"/>
        <w:rPr>
          <w:sz w:val="36"/>
          <w:szCs w:val="36"/>
        </w:rPr>
      </w:pPr>
    </w:p>
    <w:p w14:paraId="1AB21D78" w14:textId="77777777" w:rsidR="006237BF" w:rsidRDefault="006237BF" w:rsidP="006237BF">
      <w:pPr>
        <w:pStyle w:val="Sansinterligne"/>
        <w:ind w:left="-709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noProof/>
          <w:sz w:val="28"/>
          <w:szCs w:val="28"/>
        </w:rPr>
        <w:drawing>
          <wp:inline distT="0" distB="0" distL="0" distR="0" wp14:anchorId="0DA1C767" wp14:editId="126B6EB9">
            <wp:extent cx="1804670" cy="956945"/>
            <wp:effectExtent l="0" t="0" r="0" b="0"/>
            <wp:docPr id="1073741825" name="officeArt object" descr="Une image contenant texte, noir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Une image contenant texte, noir, Police, concep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956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2154B1" w14:textId="77777777" w:rsidR="006237BF" w:rsidRDefault="006237BF" w:rsidP="006237BF">
      <w:pPr>
        <w:pStyle w:val="Sansinterligne"/>
        <w:ind w:left="-709"/>
      </w:pPr>
      <w:r>
        <w:rPr>
          <w:rStyle w:val="Aucun"/>
        </w:rPr>
        <w:t>École supérieure d’art Avignon</w:t>
      </w:r>
    </w:p>
    <w:p w14:paraId="1FBAEAD0" w14:textId="77777777" w:rsidR="006237BF" w:rsidRDefault="006237BF" w:rsidP="006237BF">
      <w:pPr>
        <w:pStyle w:val="Sansinterligne"/>
        <w:ind w:left="-709"/>
      </w:pPr>
      <w:r>
        <w:rPr>
          <w:rStyle w:val="Aucun"/>
        </w:rPr>
        <w:t xml:space="preserve">500 chemin de Baigne-Pieds  </w:t>
      </w:r>
    </w:p>
    <w:p w14:paraId="60CEDF3D" w14:textId="77777777" w:rsidR="006237BF" w:rsidRDefault="006237BF" w:rsidP="006237BF">
      <w:pPr>
        <w:pStyle w:val="Sansinterligne"/>
        <w:ind w:left="-709"/>
      </w:pPr>
      <w:r>
        <w:rPr>
          <w:rStyle w:val="Aucun"/>
        </w:rPr>
        <w:t>84000 Avignon</w:t>
      </w:r>
    </w:p>
    <w:p w14:paraId="7B571168" w14:textId="77777777" w:rsidR="006237BF" w:rsidRPr="00821435" w:rsidRDefault="006237BF" w:rsidP="006237BF">
      <w:pPr>
        <w:pStyle w:val="Sansinterligne"/>
        <w:ind w:left="-709"/>
        <w:jc w:val="both"/>
        <w:rPr>
          <w:rFonts w:ascii="Arial" w:hAnsi="Arial" w:cs="Arial"/>
        </w:rPr>
      </w:pPr>
      <w:r>
        <w:rPr>
          <w:rStyle w:val="Aucun"/>
        </w:rPr>
        <w:t xml:space="preserve">Tel : 04 90 27 </w:t>
      </w:r>
      <w:r w:rsidRPr="00821435">
        <w:rPr>
          <w:rStyle w:val="Aucun"/>
          <w:rFonts w:ascii="Arial" w:hAnsi="Arial" w:cs="Arial"/>
        </w:rPr>
        <w:t>04 23</w:t>
      </w:r>
    </w:p>
    <w:p w14:paraId="5643B259" w14:textId="77777777" w:rsidR="006237BF" w:rsidRPr="00821435" w:rsidRDefault="006237BF" w:rsidP="006237BF">
      <w:pPr>
        <w:pStyle w:val="Corps"/>
        <w:jc w:val="center"/>
        <w:rPr>
          <w:rStyle w:val="Aucun"/>
          <w:rFonts w:ascii="Arial" w:hAnsi="Arial" w:cs="Arial"/>
          <w:b/>
          <w:bCs/>
        </w:rPr>
      </w:pPr>
    </w:p>
    <w:p w14:paraId="7E1DEC00" w14:textId="534DF578" w:rsidR="006237BF" w:rsidRPr="00821435" w:rsidRDefault="006237BF" w:rsidP="006237BF">
      <w:pPr>
        <w:pStyle w:val="Corps"/>
        <w:jc w:val="center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eastAsia="Aptos" w:hAnsi="Arial" w:cs="Arial"/>
          <w:b/>
          <w:bCs/>
        </w:rPr>
        <w:t>PV</w:t>
      </w:r>
    </w:p>
    <w:p w14:paraId="5CF3BCE0" w14:textId="5F85114F" w:rsidR="006237BF" w:rsidRPr="00821435" w:rsidRDefault="006237BF" w:rsidP="006237BF">
      <w:pPr>
        <w:pStyle w:val="Corps"/>
        <w:jc w:val="center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eastAsia="Aptos" w:hAnsi="Arial" w:cs="Arial"/>
          <w:b/>
          <w:bCs/>
        </w:rPr>
        <w:t>Conseil scientifique et pédagogique du 17 juin 2026</w:t>
      </w:r>
    </w:p>
    <w:p w14:paraId="54141565" w14:textId="77777777" w:rsidR="00644BAC" w:rsidRDefault="00644BAC"/>
    <w:p w14:paraId="2EE44146" w14:textId="3D572588" w:rsidR="006237BF" w:rsidRDefault="006237BF">
      <w:r>
        <w:t>Etaient présent.es :</w:t>
      </w:r>
    </w:p>
    <w:p w14:paraId="46698F40" w14:textId="77777777" w:rsidR="001C1068" w:rsidRDefault="006237BF" w:rsidP="001C1068">
      <w:pPr>
        <w:pStyle w:val="Sansinterligne"/>
      </w:pPr>
      <w:r>
        <w:t>Ross Louis</w:t>
      </w:r>
    </w:p>
    <w:p w14:paraId="7F3F22EC" w14:textId="618BAC9B" w:rsidR="006237BF" w:rsidRDefault="006237BF" w:rsidP="001C1068">
      <w:pPr>
        <w:pStyle w:val="Sansinterligne"/>
      </w:pPr>
      <w:r>
        <w:t>Francois Duboisset</w:t>
      </w:r>
    </w:p>
    <w:p w14:paraId="185F0E6C" w14:textId="2AB6AE06" w:rsidR="006237BF" w:rsidRDefault="006237BF" w:rsidP="006237BF">
      <w:pPr>
        <w:pStyle w:val="Sansinterligne"/>
      </w:pPr>
      <w:r>
        <w:t>Hervé Giocanti</w:t>
      </w:r>
    </w:p>
    <w:p w14:paraId="1E0B9955" w14:textId="65191E35" w:rsidR="006237BF" w:rsidRDefault="006237BF" w:rsidP="006237BF">
      <w:pPr>
        <w:pStyle w:val="Sansinterligne"/>
      </w:pPr>
      <w:r>
        <w:t>Benoit Pype</w:t>
      </w:r>
    </w:p>
    <w:p w14:paraId="590B6FF2" w14:textId="1977EFAB" w:rsidR="006237BF" w:rsidRDefault="006237BF" w:rsidP="006237BF">
      <w:pPr>
        <w:pStyle w:val="Sansinterligne"/>
      </w:pPr>
      <w:r>
        <w:t>Nicolas Gruppo</w:t>
      </w:r>
    </w:p>
    <w:p w14:paraId="2608902F" w14:textId="112CB88B" w:rsidR="006237BF" w:rsidRDefault="006237BF" w:rsidP="006237BF">
      <w:pPr>
        <w:pStyle w:val="Sansinterligne"/>
      </w:pPr>
      <w:r>
        <w:t>Ludmilla Barrand</w:t>
      </w:r>
    </w:p>
    <w:p w14:paraId="5BC0259B" w14:textId="71EF7867" w:rsidR="006A452F" w:rsidRDefault="006A452F" w:rsidP="006237BF">
      <w:pPr>
        <w:pStyle w:val="Sansinterligne"/>
      </w:pPr>
      <w:r>
        <w:t>Francesca Casu</w:t>
      </w:r>
    </w:p>
    <w:p w14:paraId="43785C5C" w14:textId="29322A45" w:rsidR="006237BF" w:rsidRDefault="006237BF" w:rsidP="006237BF">
      <w:pPr>
        <w:pStyle w:val="Sansinterligne"/>
      </w:pPr>
      <w:r>
        <w:t>Benoit Broisat</w:t>
      </w:r>
      <w:r>
        <w:br/>
        <w:t>Raphaelle Mancini</w:t>
      </w:r>
    </w:p>
    <w:p w14:paraId="195514A6" w14:textId="7CDE9535" w:rsidR="006237BF" w:rsidRDefault="006237BF" w:rsidP="006237BF">
      <w:pPr>
        <w:pStyle w:val="Sansinterligne"/>
      </w:pPr>
      <w:r>
        <w:t xml:space="preserve">Enora Petit </w:t>
      </w:r>
    </w:p>
    <w:p w14:paraId="14A90242" w14:textId="3773BAA0" w:rsidR="006237BF" w:rsidRDefault="006237BF" w:rsidP="006237BF">
      <w:pPr>
        <w:pStyle w:val="Sansinterligne"/>
      </w:pPr>
      <w:r>
        <w:t>Luna Dupin</w:t>
      </w:r>
    </w:p>
    <w:p w14:paraId="66CF6E26" w14:textId="5D71D3E0" w:rsidR="00E81733" w:rsidRDefault="00E81733" w:rsidP="006237BF">
      <w:pPr>
        <w:pStyle w:val="Sansinterligne"/>
      </w:pPr>
      <w:r>
        <w:t>Charlotte Lambert</w:t>
      </w:r>
    </w:p>
    <w:p w14:paraId="34AE85FF" w14:textId="64C29016" w:rsidR="00E81733" w:rsidRDefault="00E81733" w:rsidP="006237BF">
      <w:pPr>
        <w:pStyle w:val="Sansinterligne"/>
      </w:pPr>
      <w:r>
        <w:t>Marie Métayer</w:t>
      </w:r>
    </w:p>
    <w:p w14:paraId="3201000B" w14:textId="77777777" w:rsidR="006237BF" w:rsidRDefault="006237BF" w:rsidP="006237BF">
      <w:pPr>
        <w:pStyle w:val="Sansinterligne"/>
      </w:pPr>
    </w:p>
    <w:p w14:paraId="1492D7BF" w14:textId="1B8446B0" w:rsidR="006237BF" w:rsidRDefault="006237BF" w:rsidP="006237BF">
      <w:pPr>
        <w:pStyle w:val="Sansinterligne"/>
      </w:pPr>
      <w:r>
        <w:t>Excusé.es</w:t>
      </w:r>
    </w:p>
    <w:p w14:paraId="31A0AAAF" w14:textId="0C306CFD" w:rsidR="00E81733" w:rsidRDefault="00E81733" w:rsidP="006237BF">
      <w:pPr>
        <w:pStyle w:val="Sansinterligne"/>
      </w:pPr>
      <w:r>
        <w:t>Gaspard Salatko</w:t>
      </w:r>
    </w:p>
    <w:p w14:paraId="20EC6AE1" w14:textId="77777777" w:rsidR="006A452F" w:rsidRDefault="006A452F" w:rsidP="006A452F"/>
    <w:p w14:paraId="21729D8A" w14:textId="38A9D03F" w:rsidR="00A22947" w:rsidRPr="006237BF" w:rsidRDefault="006237BF" w:rsidP="006A452F">
      <w:r w:rsidRPr="006237BF">
        <w:t>-rentrée 2026-2027 en lien avec la modification de l’organisation (emplois, fonctions, etc.).</w:t>
      </w:r>
    </w:p>
    <w:p w14:paraId="7277EA96" w14:textId="77777777" w:rsidR="006A452F" w:rsidRDefault="006A452F" w:rsidP="006A452F">
      <w:r w:rsidRPr="006237BF">
        <w:t>-revue de projets (partenariat, recherche, etc.)</w:t>
      </w:r>
    </w:p>
    <w:p w14:paraId="0A80B12E" w14:textId="77777777" w:rsidR="00E81733" w:rsidRPr="00A22947" w:rsidRDefault="00E81733" w:rsidP="006A452F">
      <w:pPr>
        <w:rPr>
          <w:b/>
          <w:bCs/>
        </w:rPr>
      </w:pPr>
    </w:p>
    <w:p w14:paraId="28D3A71F" w14:textId="27C2E802" w:rsidR="00E81733" w:rsidRPr="00A22947" w:rsidRDefault="00E81733" w:rsidP="00E81733">
      <w:pPr>
        <w:pStyle w:val="Paragraphedeliste"/>
        <w:numPr>
          <w:ilvl w:val="0"/>
          <w:numId w:val="1"/>
        </w:numPr>
        <w:rPr>
          <w:b/>
          <w:bCs/>
        </w:rPr>
      </w:pPr>
      <w:r w:rsidRPr="00A22947">
        <w:rPr>
          <w:b/>
          <w:bCs/>
        </w:rPr>
        <w:t>Rentrée 2026</w:t>
      </w:r>
    </w:p>
    <w:p w14:paraId="368D765E" w14:textId="506D212E" w:rsidR="00E81733" w:rsidRDefault="00FF6E88" w:rsidP="00E81733">
      <w:r>
        <w:t>Benoit Broisat informe d’ une n</w:t>
      </w:r>
      <w:r w:rsidR="00E81733">
        <w:t>ouvelle organisation à venir</w:t>
      </w:r>
      <w:r>
        <w:t xml:space="preserve"> notamment en lien avec les mobilités de personnel et les contraintes financières du tableau des emplois.</w:t>
      </w:r>
    </w:p>
    <w:p w14:paraId="3E9DBB1C" w14:textId="2EB805F9" w:rsidR="00FF6E88" w:rsidRDefault="00E81733" w:rsidP="00E81733">
      <w:r>
        <w:t>Réintégration d’Emilie Chabert</w:t>
      </w:r>
      <w:r w:rsidR="00FF6E88">
        <w:t xml:space="preserve"> de droit ce qui va amener à une modification des missions des agents du pôle administratif.</w:t>
      </w:r>
    </w:p>
    <w:p w14:paraId="4114EDEF" w14:textId="77777777" w:rsidR="00FF6E88" w:rsidRDefault="00FF6E88" w:rsidP="00E81733"/>
    <w:p w14:paraId="116F055A" w14:textId="77777777" w:rsidR="00FF6E88" w:rsidRDefault="00FF6E88" w:rsidP="00E81733"/>
    <w:p w14:paraId="3887472D" w14:textId="77777777" w:rsidR="00FF6E88" w:rsidRDefault="00FF6E88" w:rsidP="00E81733"/>
    <w:p w14:paraId="5621E059" w14:textId="77777777" w:rsidR="00FF6E88" w:rsidRDefault="00FF6E88" w:rsidP="00FF6E88">
      <w:r w:rsidRPr="009A78FC">
        <w:rPr>
          <w:highlight w:val="yellow"/>
        </w:rPr>
        <w:lastRenderedPageBreak/>
        <w:t>Assistante en charge de la coordination pédagogique– cadre C</w:t>
      </w:r>
    </w:p>
    <w:p w14:paraId="6CA88741" w14:textId="77777777" w:rsidR="00FF6E88" w:rsidRPr="008A1B60" w:rsidRDefault="00FF6E88" w:rsidP="00FF6E88"/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245"/>
      </w:tblGrid>
      <w:tr w:rsidR="00FF6E88" w:rsidRPr="008A1B60" w14:paraId="3CF6039A" w14:textId="77777777" w:rsidTr="00241CBC">
        <w:trPr>
          <w:trHeight w:val="879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9A90C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B70282" w14:textId="77777777" w:rsidR="00FF6E88" w:rsidRPr="008A1B60" w:rsidRDefault="00FF6E88" w:rsidP="00241CBC">
            <w:r w:rsidRPr="008A1B60">
              <w:t>Sous l</w:t>
            </w:r>
            <w:r>
              <w:t>’</w:t>
            </w:r>
            <w:r w:rsidRPr="008A1B60">
              <w:t>autorité du directeur,</w:t>
            </w:r>
            <w:r>
              <w:t xml:space="preserve"> travailler sur</w:t>
            </w:r>
            <w:r w:rsidRPr="008A1B60">
              <w:t xml:space="preserve"> </w:t>
            </w:r>
            <w:r>
              <w:t>et à partir du livret des études</w:t>
            </w:r>
            <w:r w:rsidRPr="008A1B60">
              <w:t xml:space="preserve"> tous les ans et </w:t>
            </w:r>
            <w:r>
              <w:t xml:space="preserve">actualiser </w:t>
            </w:r>
            <w:r w:rsidRPr="008A1B60">
              <w:t xml:space="preserve">l’ensemble des outils liés à la scolarité : EDT, bulletins de note, Parcours sup, Taiga, etc. </w:t>
            </w:r>
          </w:p>
          <w:p w14:paraId="01E80435" w14:textId="77777777" w:rsidR="00FF6E88" w:rsidRPr="008A1B60" w:rsidRDefault="00FF6E88" w:rsidP="00241CBC">
            <w:r w:rsidRPr="008A1B60">
              <w:t xml:space="preserve">Assurer l’interface avec les enseignant.es de l’ESAA </w:t>
            </w:r>
            <w:r>
              <w:t xml:space="preserve">et les étudiant.es </w:t>
            </w:r>
            <w:r w:rsidRPr="008A1B60">
              <w:t>sur toute question concernant l’EDT durant le cycle scolaire ( EDT, salles, etc.)</w:t>
            </w:r>
          </w:p>
        </w:tc>
      </w:tr>
      <w:tr w:rsidR="00FF6E88" w:rsidRPr="008A1B60" w14:paraId="51D0EE5E" w14:textId="77777777" w:rsidTr="00241CBC">
        <w:trPr>
          <w:trHeight w:val="767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4F414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4788A" w14:textId="77777777" w:rsidR="00FF6E88" w:rsidRPr="008A1B60" w:rsidRDefault="00FF6E88" w:rsidP="00241CBC">
            <w:r w:rsidRPr="008A1B60">
              <w:t>Création de contenus rédactionnels à la demande de la direction en faveur de la scolarité. Mettre en place les calendriers de communication et les suivre. En lien avec l</w:t>
            </w:r>
            <w:r>
              <w:t>e directeur</w:t>
            </w:r>
            <w:r w:rsidRPr="008A1B60">
              <w:t>, mettre en œuvre les plaquettes et les documents institutionnels.</w:t>
            </w:r>
          </w:p>
        </w:tc>
      </w:tr>
      <w:tr w:rsidR="00FF6E88" w:rsidRPr="008A1B60" w14:paraId="4F20FD3B" w14:textId="77777777" w:rsidTr="00241CBC">
        <w:trPr>
          <w:trHeight w:val="89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57ABE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2A8C3" w14:textId="77777777" w:rsidR="00FF6E88" w:rsidRPr="008A1B60" w:rsidRDefault="00FF6E88" w:rsidP="00241CBC">
            <w:r>
              <w:t>Assurer une permanence de la coordination pédagogique 1 jour par semaine à Champfleury</w:t>
            </w:r>
          </w:p>
        </w:tc>
      </w:tr>
      <w:tr w:rsidR="00FF6E88" w:rsidRPr="008A1B60" w14:paraId="53ED914F" w14:textId="77777777" w:rsidTr="00241CBC">
        <w:trPr>
          <w:trHeight w:val="999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FA9B5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3E6675" w14:textId="77777777" w:rsidR="00FF6E88" w:rsidRPr="008A1B60" w:rsidRDefault="00FF6E88" w:rsidP="00241CBC">
            <w:r w:rsidRPr="008A1B60">
              <w:t>Intérim en cas d’absence des autres agents du pôle selon les nécessités de service</w:t>
            </w:r>
          </w:p>
        </w:tc>
      </w:tr>
    </w:tbl>
    <w:p w14:paraId="5BEC78D0" w14:textId="77777777" w:rsidR="00FF6E88" w:rsidRPr="008A1B60" w:rsidRDefault="00FF6E88" w:rsidP="00FF6E88"/>
    <w:p w14:paraId="19E399BC" w14:textId="77777777" w:rsidR="00FF6E88" w:rsidRPr="008A1B60" w:rsidRDefault="00FF6E88" w:rsidP="00FF6E88"/>
    <w:p w14:paraId="4B8D706D" w14:textId="77777777" w:rsidR="00FF6E88" w:rsidRPr="008A1B60" w:rsidRDefault="00FF6E88" w:rsidP="00FF6E88">
      <w:r w:rsidRPr="00DE5A27">
        <w:rPr>
          <w:highlight w:val="yellow"/>
        </w:rPr>
        <w:t>Assistante administrative en charge de la communication, de la coordination évènementielle et des relations internationales  - cadre B</w:t>
      </w:r>
    </w:p>
    <w:p w14:paraId="0C1EE91B" w14:textId="77777777" w:rsidR="00FF6E88" w:rsidRPr="008A1B60" w:rsidRDefault="00FF6E88" w:rsidP="00FF6E88"/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8245"/>
      </w:tblGrid>
      <w:tr w:rsidR="00FF6E88" w:rsidRPr="008A1B60" w14:paraId="0BAEC6A0" w14:textId="77777777" w:rsidTr="00241CBC">
        <w:trPr>
          <w:trHeight w:val="879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16CAE" w14:textId="77777777" w:rsidR="00FF6E88" w:rsidRPr="008A1B60" w:rsidRDefault="00FF6E88" w:rsidP="00241CBC">
            <w:pPr>
              <w:rPr>
                <w:b/>
                <w:bCs/>
              </w:rPr>
            </w:pPr>
            <w:r w:rsidRPr="008A1B60">
              <w:rPr>
                <w:b/>
                <w:bCs/>
              </w:rPr>
              <w:t>1</w:t>
            </w:r>
          </w:p>
        </w:tc>
        <w:tc>
          <w:tcPr>
            <w:tcW w:w="8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307B6" w14:textId="77777777" w:rsidR="00FF6E88" w:rsidRPr="008A1B60" w:rsidRDefault="00FF6E88" w:rsidP="00241CBC">
            <w:r w:rsidRPr="008A1B60">
              <w:t>Assurer la coordination digitale de l’ESAA (site internet, mise à jour des réseaux sociaux.)</w:t>
            </w:r>
            <w:r>
              <w:t xml:space="preserve"> en synergie avec le secrétaire général</w:t>
            </w:r>
          </w:p>
          <w:p w14:paraId="441B82F2" w14:textId="77777777" w:rsidR="00FF6E88" w:rsidRDefault="00FF6E88" w:rsidP="00241CBC">
            <w:r w:rsidRPr="008A1B60">
              <w:t xml:space="preserve">Coordination des relations presse et rédaction des communiqués de presse </w:t>
            </w:r>
          </w:p>
          <w:p w14:paraId="6E7B4FBC" w14:textId="77777777" w:rsidR="00FF6E88" w:rsidRPr="008A1B60" w:rsidRDefault="00FF6E88" w:rsidP="00241CBC">
            <w:r>
              <w:t xml:space="preserve">Actualiser la base ressources des partenaires ESAA ( </w:t>
            </w:r>
            <w:proofErr w:type="spellStart"/>
            <w:r>
              <w:t>brevo</w:t>
            </w:r>
            <w:proofErr w:type="spellEnd"/>
            <w:r>
              <w:t>, etc.)</w:t>
            </w:r>
          </w:p>
        </w:tc>
      </w:tr>
      <w:tr w:rsidR="00FF6E88" w:rsidRPr="008A1B60" w14:paraId="0D01FFAD" w14:textId="77777777" w:rsidTr="00241CBC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6AE2F" w14:textId="77777777" w:rsidR="00FF6E88" w:rsidRPr="008A1B60" w:rsidRDefault="00FF6E88" w:rsidP="00241CBC">
            <w:pPr>
              <w:rPr>
                <w:b/>
                <w:bCs/>
              </w:rPr>
            </w:pPr>
            <w:r w:rsidRPr="008A1B60">
              <w:rPr>
                <w:b/>
                <w:bCs/>
              </w:rPr>
              <w:t>2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5148B" w14:textId="77777777" w:rsidR="00FF6E88" w:rsidRPr="008A1B60" w:rsidRDefault="00FF6E88" w:rsidP="00241CBC">
            <w:r w:rsidRPr="008A1B60">
              <w:t>Sous l’autorité du directeur et en bonne coordination avec l’assistante pédagogique, mettre en œuvre la politique des relations internationales de l’ESAA ( programmes européens</w:t>
            </w:r>
            <w:r>
              <w:t xml:space="preserve"> dont Erasmus + </w:t>
            </w:r>
            <w:r w:rsidRPr="008A1B60">
              <w:t>, ré</w:t>
            </w:r>
            <w:r>
              <w:t>seau</w:t>
            </w:r>
            <w:r w:rsidRPr="008A1B60">
              <w:t xml:space="preserve"> ANDEA</w:t>
            </w:r>
            <w:r>
              <w:t xml:space="preserve"> des chargés des relations internationales</w:t>
            </w:r>
            <w:r w:rsidRPr="008A1B60">
              <w:t>, etc.).</w:t>
            </w:r>
          </w:p>
        </w:tc>
      </w:tr>
      <w:tr w:rsidR="00FF6E88" w:rsidRPr="008A1B60" w14:paraId="2C7BEB60" w14:textId="77777777" w:rsidTr="00241CBC">
        <w:trPr>
          <w:trHeight w:val="893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A47E5" w14:textId="77777777" w:rsidR="00FF6E88" w:rsidRPr="008A1B60" w:rsidRDefault="00FF6E88" w:rsidP="00241CBC">
            <w:pPr>
              <w:rPr>
                <w:b/>
                <w:bCs/>
              </w:rPr>
            </w:pPr>
            <w:r w:rsidRPr="008A1B60">
              <w:rPr>
                <w:b/>
                <w:bCs/>
              </w:rPr>
              <w:t>3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4F0F0" w14:textId="77777777" w:rsidR="00FF6E88" w:rsidRPr="008A1B60" w:rsidRDefault="00FF6E88" w:rsidP="00241CBC">
            <w:r w:rsidRPr="008A1B60">
              <w:t>Préparation</w:t>
            </w:r>
            <w:r>
              <w:t xml:space="preserve"> </w:t>
            </w:r>
            <w:r w:rsidRPr="008A1B60">
              <w:t xml:space="preserve"> et coordination des évènements (accueil, </w:t>
            </w:r>
            <w:r>
              <w:t>catering</w:t>
            </w:r>
            <w:r w:rsidRPr="008A1B60">
              <w:t>, organisation des plannings et présence, suivi d’installation) sous l’autorité du secretaire général. Conférences, WS, Séminaire</w:t>
            </w:r>
            <w:r>
              <w:t>s.</w:t>
            </w:r>
          </w:p>
        </w:tc>
      </w:tr>
      <w:tr w:rsidR="00FF6E88" w:rsidRPr="008A1B60" w14:paraId="09052E24" w14:textId="77777777" w:rsidTr="00241CBC">
        <w:trPr>
          <w:trHeight w:val="881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18097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EFBF8" w14:textId="77777777" w:rsidR="00FF6E88" w:rsidRPr="008A1B60" w:rsidRDefault="00FF6E88" w:rsidP="00241CBC">
            <w:r>
              <w:t xml:space="preserve">Structurer et mettre en œuvre une politique d’accompagnement des </w:t>
            </w:r>
            <w:proofErr w:type="spellStart"/>
            <w:r>
              <w:t>alumni</w:t>
            </w:r>
            <w:proofErr w:type="spellEnd"/>
            <w:r>
              <w:t>. Inscrire cette démarche dans la politique de professionnalisation de l’ESAA pour tous les étudiant.es en stimulant partenariats et financements.</w:t>
            </w:r>
          </w:p>
        </w:tc>
      </w:tr>
      <w:tr w:rsidR="00FF6E88" w:rsidRPr="008A1B60" w14:paraId="6EFAE54A" w14:textId="77777777" w:rsidTr="00241CBC">
        <w:trPr>
          <w:trHeight w:val="881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7D4C6" w14:textId="77777777" w:rsidR="00FF6E88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A8486" w14:textId="77777777" w:rsidR="00FF6E88" w:rsidRDefault="00FF6E88" w:rsidP="00241CBC">
            <w:r>
              <w:t>Assurer une permanence administrative de 1 jour par semaine à Champfleury</w:t>
            </w:r>
          </w:p>
        </w:tc>
      </w:tr>
      <w:tr w:rsidR="00FF6E88" w:rsidRPr="008A1B60" w14:paraId="6BB50792" w14:textId="77777777" w:rsidTr="00241CBC">
        <w:trPr>
          <w:trHeight w:val="881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B3534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74E654" w14:textId="77777777" w:rsidR="00FF6E88" w:rsidRPr="008A1B60" w:rsidRDefault="00FF6E88" w:rsidP="00241CBC">
            <w:r w:rsidRPr="008A1B60">
              <w:t>Dans le cadre des objectifs fixés par la CRC, travailler à la réalisation des préconisations au sein de l’équipe administrative et comptable</w:t>
            </w:r>
          </w:p>
        </w:tc>
      </w:tr>
      <w:tr w:rsidR="00FF6E88" w:rsidRPr="008A1B60" w14:paraId="7FDC7844" w14:textId="77777777" w:rsidTr="00241CBC">
        <w:trPr>
          <w:trHeight w:val="999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04AD3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0F7351F4" w14:textId="77777777" w:rsidR="00FF6E88" w:rsidRPr="008A1B60" w:rsidRDefault="00FF6E88" w:rsidP="00241CBC">
            <w:pPr>
              <w:rPr>
                <w:b/>
                <w:bCs/>
              </w:rPr>
            </w:pP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1BB430" w14:textId="77777777" w:rsidR="00FF6E88" w:rsidRPr="008A1B60" w:rsidRDefault="00FF6E88" w:rsidP="00241CBC">
            <w:pPr>
              <w:rPr>
                <w:b/>
                <w:bCs/>
              </w:rPr>
            </w:pPr>
            <w:r>
              <w:t xml:space="preserve">A </w:t>
            </w:r>
            <w:r w:rsidRPr="008A1B60">
              <w:t>la demande du secrétaire général, exécuter les tâches administratives relatives au fonctionnement institutionnel (préparation des réunions, PV, vie institutionnelle,</w:t>
            </w:r>
            <w:r>
              <w:t xml:space="preserve"> élections,</w:t>
            </w:r>
            <w:r w:rsidRPr="008A1B60">
              <w:t xml:space="preserve"> etc.)</w:t>
            </w:r>
          </w:p>
        </w:tc>
      </w:tr>
      <w:tr w:rsidR="00FF6E88" w:rsidRPr="008A1B60" w14:paraId="23BB3810" w14:textId="77777777" w:rsidTr="00241CBC">
        <w:trPr>
          <w:trHeight w:val="999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EB8F2" w14:textId="77777777" w:rsidR="00FF6E88" w:rsidRPr="008A1B60" w:rsidRDefault="00FF6E88" w:rsidP="00241CB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09F9A7" w14:textId="77777777" w:rsidR="00FF6E88" w:rsidRPr="008A1B60" w:rsidRDefault="00FF6E88" w:rsidP="00241CBC">
            <w:r w:rsidRPr="008A1B60">
              <w:t>Intérim en cas d’absence des autres agents du pôle selon les nécessités de service</w:t>
            </w:r>
          </w:p>
        </w:tc>
      </w:tr>
    </w:tbl>
    <w:p w14:paraId="606280B9" w14:textId="77777777" w:rsidR="00FF6E88" w:rsidRPr="008A1B60" w:rsidRDefault="00FF6E88" w:rsidP="00FF6E88"/>
    <w:p w14:paraId="3DF11AEA" w14:textId="04B2549D" w:rsidR="00FF6E88" w:rsidRDefault="00FF6E88" w:rsidP="00FF6E88">
      <w:r>
        <w:t>Ludmilla Barrand assurera des missions d’enseignement et assurera la responsabilité de la coordination des questions d’insertion professionnelle notamment en lien avec les attendus du dossier d’accréditation.</w:t>
      </w:r>
    </w:p>
    <w:p w14:paraId="1D4B193D" w14:textId="3BC550C7" w:rsidR="00E81733" w:rsidRDefault="00FF6E88" w:rsidP="00E81733">
      <w:r>
        <w:br/>
        <w:t>Au niveau financier, nous attendons les informations relatives à l‘a</w:t>
      </w:r>
      <w:r w:rsidR="00E81733">
        <w:t>udit financier de la Ville d’Avignon</w:t>
      </w:r>
      <w:r>
        <w:t xml:space="preserve"> prévu pour juin 2026.</w:t>
      </w:r>
    </w:p>
    <w:p w14:paraId="1D6D0962" w14:textId="05C093AC" w:rsidR="00A22947" w:rsidRDefault="00A22947" w:rsidP="00E81733">
      <w:r w:rsidRPr="00A22947">
        <w:t>Hervé Giocanti demande si l’ESAA a une visibilité sur</w:t>
      </w:r>
      <w:r>
        <w:t xml:space="preserve"> les départs à la retraite au sein de l’ESAA. </w:t>
      </w:r>
    </w:p>
    <w:p w14:paraId="0E4BD2FB" w14:textId="7BCC1DEA" w:rsidR="00A22947" w:rsidRPr="00A22947" w:rsidRDefault="00A22947" w:rsidP="00A22947">
      <w:pPr>
        <w:pStyle w:val="Sansinterligne"/>
      </w:pPr>
      <w:r>
        <w:t>Raphaelle Mancini répond que les lignes de gestion doivent être réactualisées et qu’elles permettr</w:t>
      </w:r>
      <w:r w:rsidR="00FF6E88">
        <w:t>o</w:t>
      </w:r>
      <w:r>
        <w:t>nt de faire des hypothèses sur les redéploiements de poste possible.</w:t>
      </w:r>
    </w:p>
    <w:p w14:paraId="4B0D2B97" w14:textId="482A4645" w:rsidR="00A22947" w:rsidRDefault="00FF6E88" w:rsidP="00A22947">
      <w:r>
        <w:t>A cette date, pas de départ à la retraite prévu.</w:t>
      </w:r>
    </w:p>
    <w:p w14:paraId="360ED03F" w14:textId="44D69B6E" w:rsidR="00FF6E88" w:rsidRPr="006237BF" w:rsidRDefault="00FF6E88" w:rsidP="00A22947">
      <w:r>
        <w:t>Dans ce contexte, Benoit Broisat informe que les enseignements attendus pourront notamment faire l’objet d’appel à des intervenants extérieurs notamment pour la peinture, etc.</w:t>
      </w:r>
    </w:p>
    <w:p w14:paraId="534E0BC2" w14:textId="093CDC2E" w:rsidR="00A22947" w:rsidRPr="00FF6E88" w:rsidRDefault="00A22947" w:rsidP="00FF6E88">
      <w:pPr>
        <w:pStyle w:val="Paragraphedeliste"/>
        <w:numPr>
          <w:ilvl w:val="0"/>
          <w:numId w:val="1"/>
        </w:numPr>
        <w:rPr>
          <w:b/>
          <w:bCs/>
        </w:rPr>
      </w:pPr>
      <w:r w:rsidRPr="00FF6E88">
        <w:rPr>
          <w:b/>
          <w:bCs/>
        </w:rPr>
        <w:t>revue de projets (partenariat, recherche, etc.)</w:t>
      </w:r>
    </w:p>
    <w:p w14:paraId="059B972E" w14:textId="2F6AF643" w:rsidR="00A22947" w:rsidRDefault="00FF6E88" w:rsidP="00E81733">
      <w:r>
        <w:t>Benoit Broisat présente aux membres du CSP la dynamique de projets qui irriguera le cycle 2026-2027.</w:t>
      </w:r>
    </w:p>
    <w:p w14:paraId="1ABDE013" w14:textId="77777777" w:rsidR="00FF6E88" w:rsidRDefault="00FF6E88" w:rsidP="00E81733">
      <w:pPr>
        <w:pStyle w:val="Paragraphedeliste"/>
        <w:numPr>
          <w:ilvl w:val="0"/>
          <w:numId w:val="2"/>
        </w:numPr>
      </w:pPr>
      <w:r>
        <w:t xml:space="preserve">Dépôt d’une demande de soutien financier pour les projets de recherches de l’ESAA notamment </w:t>
      </w:r>
      <w:r w:rsidR="00A22947">
        <w:t xml:space="preserve">RADAR </w:t>
      </w:r>
    </w:p>
    <w:p w14:paraId="4B85E25A" w14:textId="77777777" w:rsidR="00FF6E88" w:rsidRDefault="00A22947" w:rsidP="00E81733">
      <w:pPr>
        <w:pStyle w:val="Paragraphedeliste"/>
        <w:numPr>
          <w:ilvl w:val="0"/>
          <w:numId w:val="2"/>
        </w:numPr>
      </w:pPr>
      <w:r>
        <w:t>Travail avec Gilles Clément</w:t>
      </w:r>
      <w:r w:rsidR="00FF6E88">
        <w:t xml:space="preserve"> sur les espaces extérieurs de l’école,</w:t>
      </w:r>
    </w:p>
    <w:p w14:paraId="765878BC" w14:textId="77777777" w:rsidR="00FF6E88" w:rsidRDefault="00A22947" w:rsidP="00E81733">
      <w:pPr>
        <w:pStyle w:val="Paragraphedeliste"/>
        <w:numPr>
          <w:ilvl w:val="0"/>
          <w:numId w:val="2"/>
        </w:numPr>
      </w:pPr>
      <w:r>
        <w:t>Autre projet : l’école du terrain, hypothèse de travail avec cette structure et mutualisation possibles de</w:t>
      </w:r>
      <w:r w:rsidR="00FF6E88">
        <w:t xml:space="preserve"> certaines actions ;</w:t>
      </w:r>
    </w:p>
    <w:p w14:paraId="44717648" w14:textId="77777777" w:rsidR="00FF6E88" w:rsidRDefault="00A22947" w:rsidP="00E81733">
      <w:pPr>
        <w:pStyle w:val="Paragraphedeliste"/>
        <w:numPr>
          <w:ilvl w:val="0"/>
          <w:numId w:val="2"/>
        </w:numPr>
      </w:pPr>
      <w:r w:rsidRPr="00A22947">
        <w:t>Approche de Thomas Hirschorn sur</w:t>
      </w:r>
      <w:r>
        <w:t xml:space="preserve"> le travail artistique en espace public.</w:t>
      </w:r>
    </w:p>
    <w:p w14:paraId="58C698C1" w14:textId="77777777" w:rsidR="00FF6E88" w:rsidRDefault="00A22947" w:rsidP="00E81733">
      <w:pPr>
        <w:pStyle w:val="Paragraphedeliste"/>
        <w:numPr>
          <w:ilvl w:val="0"/>
          <w:numId w:val="2"/>
        </w:numPr>
      </w:pPr>
      <w:r>
        <w:t>Hypothèse de créer des dynamiques avec l’école d’architecture de Marseille.</w:t>
      </w:r>
    </w:p>
    <w:p w14:paraId="4F274438" w14:textId="77777777" w:rsidR="00FF6E88" w:rsidRDefault="00A22947" w:rsidP="00E81733">
      <w:pPr>
        <w:pStyle w:val="Paragraphedeliste"/>
        <w:numPr>
          <w:ilvl w:val="0"/>
          <w:numId w:val="2"/>
        </w:numPr>
      </w:pPr>
      <w:r>
        <w:t>Travail avec la Direction avec le Campus Caribéen des Arts. Lien notamment sur le projet de recherche Amazonie(s). Aide</w:t>
      </w:r>
      <w:r w:rsidR="00FF6E88">
        <w:t xml:space="preserve"> à venir de la DRAC PACA </w:t>
      </w:r>
      <w:r>
        <w:t xml:space="preserve"> de 6 000€.</w:t>
      </w:r>
    </w:p>
    <w:p w14:paraId="1F30B712" w14:textId="605AC9AF" w:rsidR="00A22947" w:rsidRDefault="00A22947" w:rsidP="00E81733">
      <w:pPr>
        <w:pStyle w:val="Paragraphedeliste"/>
        <w:numPr>
          <w:ilvl w:val="0"/>
          <w:numId w:val="2"/>
        </w:numPr>
      </w:pPr>
      <w:r>
        <w:t>Centre Essaim</w:t>
      </w:r>
      <w:r w:rsidR="00232022">
        <w:t xml:space="preserve">e : </w:t>
      </w:r>
      <w:hyperlink r:id="rId8" w:history="1">
        <w:r w:rsidR="00232022" w:rsidRPr="00D771D4">
          <w:rPr>
            <w:rStyle w:val="Lienhypertexte"/>
          </w:rPr>
          <w:t>https://mediation.centrepompidou.fr/education/ressources/ENS-architecture-Centre-Pompidou/comment_ca_vit/p3.htm</w:t>
        </w:r>
      </w:hyperlink>
      <w:r w:rsidR="00232022">
        <w:t xml:space="preserve"> </w:t>
      </w:r>
      <w:r>
        <w:t xml:space="preserve"> . Fermeture du centre Pompidou. Il s’agit de mettre à disposition les matériaux du </w:t>
      </w:r>
      <w:r w:rsidR="00232022">
        <w:t>C</w:t>
      </w:r>
      <w:r>
        <w:t xml:space="preserve">entre Pompidou à l’ESAA. Marie Jacotey a mis en contact la direction et le centre. Cette dynamique viendra enrichir le projet de Mari Mira en prolongeant </w:t>
      </w:r>
      <w:r w:rsidR="00232022">
        <w:t xml:space="preserve">notamment </w:t>
      </w:r>
      <w:r>
        <w:t>l’esprit cabanon.</w:t>
      </w:r>
    </w:p>
    <w:p w14:paraId="51D0FC8F" w14:textId="77777777" w:rsidR="00232022" w:rsidRDefault="00A1487B" w:rsidP="00E81733">
      <w:r>
        <w:t>Francois Duboisset propose d’intégrer l</w:t>
      </w:r>
      <w:r w:rsidR="00232022">
        <w:t>es enseignements de conservation-restauration</w:t>
      </w:r>
      <w:r>
        <w:t xml:space="preserve"> à cette dynamique d</w:t>
      </w:r>
      <w:r w:rsidR="005A5681">
        <w:t>è</w:t>
      </w:r>
      <w:r>
        <w:t>s le départ.</w:t>
      </w:r>
    </w:p>
    <w:p w14:paraId="266E0408" w14:textId="77777777" w:rsidR="00232022" w:rsidRDefault="00A1487B" w:rsidP="00E81733">
      <w:pPr>
        <w:pStyle w:val="Paragraphedeliste"/>
        <w:numPr>
          <w:ilvl w:val="0"/>
          <w:numId w:val="2"/>
        </w:numPr>
      </w:pPr>
      <w:r>
        <w:t>Partenariat avec le Palais des papes. Convention de partenariat en cours de signature. Un espace atelier est accessible pour des ateliers in situ au Palais des papes. 3 chantiers école seraient envisagés</w:t>
      </w:r>
      <w:r w:rsidR="00232022">
        <w:t xml:space="preserve"> pour le cycle 2026 2027</w:t>
      </w:r>
      <w:r>
        <w:t>. Des objets d’étude pourraient être prêtés à l’ESAA.</w:t>
      </w:r>
    </w:p>
    <w:p w14:paraId="020997EE" w14:textId="479B2883" w:rsidR="00A1487B" w:rsidRDefault="005A5681" w:rsidP="00E81733">
      <w:pPr>
        <w:pStyle w:val="Paragraphedeliste"/>
        <w:numPr>
          <w:ilvl w:val="0"/>
          <w:numId w:val="2"/>
        </w:numPr>
      </w:pPr>
      <w:r>
        <w:t xml:space="preserve">Le </w:t>
      </w:r>
      <w:r w:rsidR="00A1487B">
        <w:t>Salon Traffic au FRAC SUD prévu début décembre</w:t>
      </w:r>
      <w:r>
        <w:t xml:space="preserve"> 2026. L’ESAA y participera </w:t>
      </w:r>
      <w:r w:rsidR="00A1487B">
        <w:t xml:space="preserve">. Partenariat avec le réseau Ecole-s du sud. Travail avec Nicolas Gruppo, Hamid </w:t>
      </w:r>
      <w:proofErr w:type="spellStart"/>
      <w:r w:rsidR="00A1487B">
        <w:t>Maghraoui</w:t>
      </w:r>
      <w:proofErr w:type="spellEnd"/>
      <w:r w:rsidR="00A1487B">
        <w:t xml:space="preserve">, Marie Jacotey et Benoit Pype. Travail sur la question des affiches. Cabaret sauvage le 5 </w:t>
      </w:r>
      <w:proofErr w:type="spellStart"/>
      <w:r w:rsidR="00A1487B">
        <w:t>dec</w:t>
      </w:r>
      <w:proofErr w:type="spellEnd"/>
      <w:r w:rsidR="00A1487B">
        <w:t xml:space="preserve"> 2026 à Marseille.</w:t>
      </w:r>
    </w:p>
    <w:p w14:paraId="767CDCA6" w14:textId="77777777" w:rsidR="00232022" w:rsidRDefault="00A1487B" w:rsidP="00E81733">
      <w:r>
        <w:t xml:space="preserve">Benoit Broisat souhaiterait redévelopper la </w:t>
      </w:r>
      <w:r w:rsidR="005A5681">
        <w:t>sérigraphie</w:t>
      </w:r>
      <w:r>
        <w:t>.</w:t>
      </w:r>
      <w:r w:rsidR="00232022">
        <w:t xml:space="preserve"> </w:t>
      </w:r>
      <w:r>
        <w:br/>
        <w:t>La direction va faire notamment appel à Francois Martiniak pour le livret des études 2026 et de développer un partenariat plus solide</w:t>
      </w:r>
      <w:r w:rsidR="00232022">
        <w:t xml:space="preserve"> avec cet intervenant qui a déjà travaillé à l’ESAA</w:t>
      </w:r>
      <w:r>
        <w:t>. Il s’agit de mettre en place des formes de création dans une économie des moyens spécifiques.</w:t>
      </w:r>
    </w:p>
    <w:p w14:paraId="4FA16DBF" w14:textId="02090B71" w:rsidR="005A5681" w:rsidRDefault="005A5681" w:rsidP="00232022">
      <w:pPr>
        <w:pStyle w:val="Paragraphedeliste"/>
        <w:numPr>
          <w:ilvl w:val="0"/>
          <w:numId w:val="2"/>
        </w:numPr>
      </w:pPr>
      <w:r>
        <w:t>Un autre projet concerne le Conservatoire du Grand Avignon notamment autour du projet du Soldat de Stravinsky. Coordinatrice du projet : Marie Jacotey. Restitution la dernière semaine de mai.</w:t>
      </w:r>
    </w:p>
    <w:p w14:paraId="18F63142" w14:textId="77777777" w:rsidR="00232022" w:rsidRDefault="00232022" w:rsidP="00E81733">
      <w:r>
        <w:t>Ross Louis demande si des postes seront pourvus dans ce contexte.</w:t>
      </w:r>
    </w:p>
    <w:p w14:paraId="0D4A3BC6" w14:textId="77777777" w:rsidR="00232022" w:rsidRDefault="00232022" w:rsidP="00E81733">
      <w:r>
        <w:t>Raphaelle Mancini indique que l’ESAA a fait 3 publications actuelles prioritaires au regard du projet d’établissement.</w:t>
      </w:r>
    </w:p>
    <w:p w14:paraId="61BD317E" w14:textId="12231512" w:rsidR="005165DB" w:rsidRDefault="00232022" w:rsidP="00E81733">
      <w:r>
        <w:t xml:space="preserve">Benoit Broisat indique qu’un travail de fond est entrepris pour développer des ressources propres : </w:t>
      </w:r>
      <w:r w:rsidR="005165DB">
        <w:t>fonds verts, mécénat,</w:t>
      </w:r>
      <w:r>
        <w:t xml:space="preserve"> etc.</w:t>
      </w:r>
    </w:p>
    <w:p w14:paraId="024DBC5C" w14:textId="77777777" w:rsidR="00232022" w:rsidRDefault="00232022" w:rsidP="00E81733">
      <w:r>
        <w:t>François Duboisset propose des actions notamment en matière de mécénat et de CR.</w:t>
      </w:r>
    </w:p>
    <w:p w14:paraId="00915CF9" w14:textId="2DCA53F9" w:rsidR="000D5BB1" w:rsidRDefault="000D5BB1" w:rsidP="00E81733">
      <w:r>
        <w:t>N</w:t>
      </w:r>
      <w:r w:rsidR="00232022">
        <w:t xml:space="preserve">icolas </w:t>
      </w:r>
      <w:r>
        <w:t>G</w:t>
      </w:r>
      <w:r w:rsidR="00232022">
        <w:t>ruppo</w:t>
      </w:r>
      <w:r>
        <w:t xml:space="preserve"> dit qu</w:t>
      </w:r>
      <w:r w:rsidR="00232022">
        <w:t>’</w:t>
      </w:r>
      <w:r>
        <w:t xml:space="preserve">il n y a pas de visibilité sur ce qui est communiqué en extérieur.  </w:t>
      </w:r>
      <w:r w:rsidR="0051648C">
        <w:t xml:space="preserve"> Faiblesse de la communication autour des projets ? E</w:t>
      </w:r>
      <w:r>
        <w:t>st-ce qu’une école en 3D pourrait être une piste intéressante</w:t>
      </w:r>
      <w:r w:rsidR="0051648C">
        <w:t xml:space="preserve"> ? </w:t>
      </w:r>
    </w:p>
    <w:p w14:paraId="1D3F19A0" w14:textId="4D8B71FD" w:rsidR="000D5BB1" w:rsidRDefault="0051648C" w:rsidP="00E81733">
      <w:r>
        <w:t>Est-ce qu’un t</w:t>
      </w:r>
      <w:r w:rsidR="000D5BB1">
        <w:t>ravail sur une identité visuelle </w:t>
      </w:r>
      <w:r>
        <w:t xml:space="preserve">durant une semaine «  habiter l’école, faire école » pourrait être envisagée demande </w:t>
      </w:r>
      <w:r w:rsidR="000D5BB1">
        <w:t xml:space="preserve"> Enora Petit.</w:t>
      </w:r>
      <w:r>
        <w:t xml:space="preserve"> Réserve de la direction sur cette proposition.</w:t>
      </w:r>
    </w:p>
    <w:p w14:paraId="43DE4B5C" w14:textId="77777777" w:rsidR="0051648C" w:rsidRDefault="0051648C" w:rsidP="00E81733">
      <w:r>
        <w:t>Autres projets :</w:t>
      </w:r>
    </w:p>
    <w:p w14:paraId="0355019F" w14:textId="77777777" w:rsidR="00572479" w:rsidRDefault="0051648C" w:rsidP="00E81733">
      <w:pPr>
        <w:pStyle w:val="Paragraphedeliste"/>
        <w:numPr>
          <w:ilvl w:val="0"/>
          <w:numId w:val="2"/>
        </w:numPr>
      </w:pPr>
      <w:r>
        <w:t xml:space="preserve">Association </w:t>
      </w:r>
      <w:r w:rsidR="000D5BB1">
        <w:t>Les 99 champignons – Saisine de l’ESAA. Coécriture d’une pièce scénique. Echanges avec Hervé Giocanti et Benoit Broisat. Hypothèse de WS à venir.</w:t>
      </w:r>
    </w:p>
    <w:p w14:paraId="77813D55" w14:textId="77777777" w:rsidR="00572479" w:rsidRDefault="0060230E" w:rsidP="00E81733">
      <w:pPr>
        <w:pStyle w:val="Paragraphedeliste"/>
        <w:numPr>
          <w:ilvl w:val="0"/>
          <w:numId w:val="2"/>
        </w:numPr>
      </w:pPr>
      <w:r>
        <w:t>Projet de partenariat avec la Garance. Travail sur le masque. WS en nov.</w:t>
      </w:r>
    </w:p>
    <w:p w14:paraId="0BAFE01B" w14:textId="76BAC93E" w:rsidR="0060230E" w:rsidRDefault="00572479" w:rsidP="00572479">
      <w:pPr>
        <w:pStyle w:val="Paragraphedeliste"/>
        <w:numPr>
          <w:ilvl w:val="0"/>
          <w:numId w:val="2"/>
        </w:numPr>
      </w:pPr>
      <w:r>
        <w:t xml:space="preserve">Travail sur la </w:t>
      </w:r>
      <w:r w:rsidR="0060230E">
        <w:t>Cérémonie du CODO. Parfumeur au Japon.</w:t>
      </w:r>
    </w:p>
    <w:p w14:paraId="3D61007C" w14:textId="77777777" w:rsidR="00572479" w:rsidRDefault="00572479" w:rsidP="00572479">
      <w:pPr>
        <w:pStyle w:val="Paragraphedeliste"/>
        <w:numPr>
          <w:ilvl w:val="0"/>
          <w:numId w:val="2"/>
        </w:numPr>
      </w:pPr>
    </w:p>
    <w:p w14:paraId="55E3148F" w14:textId="74B70660" w:rsidR="00572479" w:rsidRPr="00572479" w:rsidRDefault="00572479" w:rsidP="00572479">
      <w:pPr>
        <w:pStyle w:val="Paragraphedeliste"/>
        <w:numPr>
          <w:ilvl w:val="0"/>
          <w:numId w:val="1"/>
        </w:numPr>
        <w:rPr>
          <w:b/>
          <w:bCs/>
        </w:rPr>
      </w:pPr>
      <w:r w:rsidRPr="00572479">
        <w:rPr>
          <w:b/>
          <w:bCs/>
        </w:rPr>
        <w:t>questions diverses :</w:t>
      </w:r>
    </w:p>
    <w:p w14:paraId="3F4EF51A" w14:textId="0B894996" w:rsidR="0060230E" w:rsidRDefault="0060230E" w:rsidP="00E81733">
      <w:r>
        <w:t>Espaces de Champfleury, problém</w:t>
      </w:r>
      <w:r w:rsidR="00572479">
        <w:t xml:space="preserve">atique </w:t>
      </w:r>
      <w:r>
        <w:t>pour les 2</w:t>
      </w:r>
      <w:r w:rsidRPr="0060230E">
        <w:rPr>
          <w:vertAlign w:val="superscript"/>
        </w:rPr>
        <w:t>nde</w:t>
      </w:r>
      <w:r>
        <w:t xml:space="preserve"> années,</w:t>
      </w:r>
    </w:p>
    <w:p w14:paraId="39800A02" w14:textId="317A8098" w:rsidR="0060230E" w:rsidRDefault="0060230E" w:rsidP="00E81733">
      <w:r>
        <w:t xml:space="preserve">Appartement </w:t>
      </w:r>
      <w:r w:rsidR="00F33245">
        <w:t>de service</w:t>
      </w:r>
      <w:r>
        <w:t xml:space="preserve"> – Quel devenir ?</w:t>
      </w:r>
    </w:p>
    <w:p w14:paraId="7F2A902A" w14:textId="2AC51F7C" w:rsidR="0060230E" w:rsidRDefault="0060230E" w:rsidP="00E81733">
      <w:r>
        <w:t>Lieu d’accrochage ?  proposé par Nicolas Gruppo.</w:t>
      </w:r>
      <w:r>
        <w:br/>
      </w:r>
      <w:r>
        <w:br/>
        <w:t>Benoit Broisat invite à la visite</w:t>
      </w:r>
      <w:r w:rsidR="00F33245">
        <w:t xml:space="preserve"> du lieu pour l’ensemble des professeurs.</w:t>
      </w:r>
    </w:p>
    <w:p w14:paraId="48744BDA" w14:textId="7BA7BD11" w:rsidR="0060230E" w:rsidRDefault="0060230E" w:rsidP="00E81733">
      <w:r w:rsidRPr="0060230E">
        <w:t>Hervé Giocanti propose un espace complémentaire d’ateliers p</w:t>
      </w:r>
      <w:r>
        <w:t>our la CR.</w:t>
      </w:r>
    </w:p>
    <w:p w14:paraId="12FC7EF3" w14:textId="48E9E12D" w:rsidR="00C7765D" w:rsidRDefault="00C7765D" w:rsidP="00E81733">
      <w:r>
        <w:t xml:space="preserve">Ross Louis voit les problèmes pour les 2ndes années mais </w:t>
      </w:r>
      <w:proofErr w:type="spellStart"/>
      <w:r>
        <w:t>s interroge</w:t>
      </w:r>
      <w:proofErr w:type="spellEnd"/>
      <w:r>
        <w:t xml:space="preserve"> sur </w:t>
      </w:r>
      <w:r w:rsidR="00F33245">
        <w:t xml:space="preserve">une </w:t>
      </w:r>
      <w:r>
        <w:t>transformation</w:t>
      </w:r>
      <w:r w:rsidR="00F33245">
        <w:t xml:space="preserve"> éventuelle de la salle 5 en salle dédiée aux secondes années.</w:t>
      </w:r>
    </w:p>
    <w:p w14:paraId="2641246D" w14:textId="77777777" w:rsidR="00F33245" w:rsidRDefault="00F33245" w:rsidP="00E81733"/>
    <w:p w14:paraId="48FDD58E" w14:textId="134C08A6" w:rsidR="00C7765D" w:rsidRDefault="00C7765D" w:rsidP="00E81733">
      <w:r>
        <w:br/>
        <w:t>Francois Duboisset questionne les modes de notation. Benoit Broisat indique que la deadline pour la remise des notes était le 28 mai. Le rattrapage concerne certains étudiants ( RSE, etc.). Normalement un point doit être fait avant la mi-juin 2026. Benoit Broisat indique qu’il y a eu des défauts de communication y compris sur les communications de date.</w:t>
      </w:r>
    </w:p>
    <w:p w14:paraId="16F57AD7" w14:textId="0957DA02" w:rsidR="00C7765D" w:rsidRDefault="00C7765D" w:rsidP="00E81733">
      <w:r>
        <w:t xml:space="preserve">Francois Duboisset indique qu’il faut mieux communiquer sur les rattrapages. </w:t>
      </w:r>
    </w:p>
    <w:p w14:paraId="35FBB814" w14:textId="02C098F0" w:rsidR="00C7765D" w:rsidRDefault="00C7765D" w:rsidP="00E81733">
      <w:r>
        <w:t>La question de la note devra être retravaillée</w:t>
      </w:r>
      <w:r w:rsidR="00F33245">
        <w:t xml:space="preserve"> en réunion pédagogique pour que chaque enseignant ait bien les dates en tête.</w:t>
      </w:r>
    </w:p>
    <w:p w14:paraId="2C076063" w14:textId="6F664AD7" w:rsidR="00C7765D" w:rsidRDefault="00C7765D" w:rsidP="00E81733">
      <w:r>
        <w:t xml:space="preserve">Pour Benoit Broisat, le cadre de fonctionnement a bien été solidifié notamment en intégrant la dimension de </w:t>
      </w:r>
      <w:proofErr w:type="spellStart"/>
      <w:r>
        <w:t>Parcoursup</w:t>
      </w:r>
      <w:proofErr w:type="spellEnd"/>
      <w:r>
        <w:t>, les échelles de validation  ECTS. Le cadre est plus lisible. Il sera exposé lors des réunions de coordination.</w:t>
      </w:r>
    </w:p>
    <w:p w14:paraId="7717BE93" w14:textId="24CAE7A7" w:rsidR="00F33245" w:rsidRDefault="00F33245" w:rsidP="00E81733">
      <w:r>
        <w:t xml:space="preserve">Benoit Broisat </w:t>
      </w:r>
      <w:proofErr w:type="spellStart"/>
      <w:r>
        <w:t>clot</w:t>
      </w:r>
      <w:proofErr w:type="spellEnd"/>
      <w:r>
        <w:t xml:space="preserve"> la réunion en remerciant les différents participants.</w:t>
      </w:r>
    </w:p>
    <w:p w14:paraId="606C759A" w14:textId="77777777" w:rsidR="00C7765D" w:rsidRDefault="00C7765D" w:rsidP="00E81733"/>
    <w:p w14:paraId="631F1673" w14:textId="77777777" w:rsidR="00C7765D" w:rsidRDefault="00C7765D" w:rsidP="00E81733"/>
    <w:p w14:paraId="22204929" w14:textId="77777777" w:rsidR="00C7765D" w:rsidRDefault="00C7765D" w:rsidP="00E81733"/>
    <w:p w14:paraId="57839D30" w14:textId="77777777" w:rsidR="00C7765D" w:rsidRPr="0060230E" w:rsidRDefault="00C7765D" w:rsidP="00E81733"/>
    <w:p w14:paraId="5239E90E" w14:textId="77777777" w:rsidR="0060230E" w:rsidRPr="0060230E" w:rsidRDefault="0060230E" w:rsidP="00E81733"/>
    <w:p w14:paraId="2F6616E1" w14:textId="77777777" w:rsidR="005A5681" w:rsidRPr="0060230E" w:rsidRDefault="005A5681" w:rsidP="00E81733"/>
    <w:p w14:paraId="64B0EA29" w14:textId="77777777" w:rsidR="005A5681" w:rsidRPr="0060230E" w:rsidRDefault="005A5681" w:rsidP="00E81733"/>
    <w:p w14:paraId="4146B2B1" w14:textId="77777777" w:rsidR="00A1487B" w:rsidRPr="0060230E" w:rsidRDefault="00A1487B" w:rsidP="00E81733"/>
    <w:p w14:paraId="1143D07A" w14:textId="77777777" w:rsidR="00A1487B" w:rsidRPr="0060230E" w:rsidRDefault="00A1487B" w:rsidP="00E81733"/>
    <w:p w14:paraId="0C5D30C0" w14:textId="77777777" w:rsidR="006A452F" w:rsidRPr="0060230E" w:rsidRDefault="006A452F" w:rsidP="006237BF"/>
    <w:p w14:paraId="131BF1B5" w14:textId="77777777" w:rsidR="006237BF" w:rsidRPr="006237BF" w:rsidRDefault="006237BF" w:rsidP="006237BF">
      <w:r w:rsidRPr="006237BF">
        <w:t>-questions diverses</w:t>
      </w:r>
    </w:p>
    <w:p w14:paraId="321457C4" w14:textId="77777777" w:rsidR="006237BF" w:rsidRPr="006237BF" w:rsidRDefault="006237BF" w:rsidP="006237BF"/>
    <w:p w14:paraId="3B9924CB" w14:textId="77777777" w:rsidR="006237BF" w:rsidRDefault="006237BF"/>
    <w:sectPr w:rsidR="006237BF" w:rsidSect="000D5BB1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96E7" w14:textId="77777777" w:rsidR="00E25ED8" w:rsidRDefault="00E25ED8" w:rsidP="00FF6E88">
      <w:pPr>
        <w:spacing w:after="0" w:line="240" w:lineRule="auto"/>
      </w:pPr>
      <w:r>
        <w:separator/>
      </w:r>
    </w:p>
  </w:endnote>
  <w:endnote w:type="continuationSeparator" w:id="0">
    <w:p w14:paraId="06F4FE33" w14:textId="77777777" w:rsidR="00E25ED8" w:rsidRDefault="00E25ED8" w:rsidP="00FF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18643"/>
      <w:docPartObj>
        <w:docPartGallery w:val="Page Numbers (Bottom of Page)"/>
        <w:docPartUnique/>
      </w:docPartObj>
    </w:sdtPr>
    <w:sdtContent>
      <w:p w14:paraId="45D64103" w14:textId="13248B27" w:rsidR="00FF6E88" w:rsidRDefault="00FF6E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FC723" w14:textId="77777777" w:rsidR="00FF6E88" w:rsidRDefault="00FF6E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65F7" w14:textId="77777777" w:rsidR="00E25ED8" w:rsidRDefault="00E25ED8" w:rsidP="00FF6E88">
      <w:pPr>
        <w:spacing w:after="0" w:line="240" w:lineRule="auto"/>
      </w:pPr>
      <w:r>
        <w:separator/>
      </w:r>
    </w:p>
  </w:footnote>
  <w:footnote w:type="continuationSeparator" w:id="0">
    <w:p w14:paraId="4E7BDCF1" w14:textId="77777777" w:rsidR="00E25ED8" w:rsidRDefault="00E25ED8" w:rsidP="00FF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D2D"/>
    <w:multiLevelType w:val="hybridMultilevel"/>
    <w:tmpl w:val="7EFAB0A4"/>
    <w:lvl w:ilvl="0" w:tplc="C9E0098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05CC"/>
    <w:multiLevelType w:val="hybridMultilevel"/>
    <w:tmpl w:val="37C61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06689">
    <w:abstractNumId w:val="1"/>
  </w:num>
  <w:num w:numId="2" w16cid:durableId="11832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BF"/>
    <w:rsid w:val="000D5BB1"/>
    <w:rsid w:val="001C1068"/>
    <w:rsid w:val="00232022"/>
    <w:rsid w:val="0051648C"/>
    <w:rsid w:val="005165DB"/>
    <w:rsid w:val="00572479"/>
    <w:rsid w:val="005940F1"/>
    <w:rsid w:val="005A5681"/>
    <w:rsid w:val="0060230E"/>
    <w:rsid w:val="006237BF"/>
    <w:rsid w:val="00644BAC"/>
    <w:rsid w:val="006A452F"/>
    <w:rsid w:val="00A1487B"/>
    <w:rsid w:val="00A22947"/>
    <w:rsid w:val="00C7765D"/>
    <w:rsid w:val="00D029E4"/>
    <w:rsid w:val="00E25ED8"/>
    <w:rsid w:val="00E81733"/>
    <w:rsid w:val="00F33245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E1E0"/>
  <w15:chartTrackingRefBased/>
  <w15:docId w15:val="{00EC9C51-0F1C-4910-9C19-E9CA921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7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7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7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7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7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7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7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7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7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7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7BF"/>
    <w:rPr>
      <w:b/>
      <w:bCs/>
      <w:smallCaps/>
      <w:color w:val="0F4761" w:themeColor="accent1" w:themeShade="BF"/>
      <w:spacing w:val="5"/>
    </w:rPr>
  </w:style>
  <w:style w:type="character" w:customStyle="1" w:styleId="Aucun">
    <w:name w:val="Aucun"/>
    <w:rsid w:val="006237BF"/>
  </w:style>
  <w:style w:type="paragraph" w:customStyle="1" w:styleId="Corps">
    <w:name w:val="Corps"/>
    <w:rsid w:val="006237BF"/>
    <w:rPr>
      <w:rFonts w:ascii="Calibri" w:eastAsia="Arial Unicode MS" w:hAnsi="Calibri" w:cs="Arial Unicode MS"/>
      <w:color w:val="000000"/>
      <w:kern w:val="0"/>
      <w:u w:color="000000"/>
      <w:lang w:eastAsia="fr-FR"/>
      <w14:ligatures w14:val="none"/>
    </w:rPr>
  </w:style>
  <w:style w:type="paragraph" w:styleId="Sansinterligne">
    <w:name w:val="No Spacing"/>
    <w:uiPriority w:val="1"/>
    <w:qFormat/>
    <w:rsid w:val="006237BF"/>
    <w:pPr>
      <w:spacing w:after="0" w:line="240" w:lineRule="auto"/>
    </w:pPr>
    <w:rPr>
      <w:rFonts w:ascii="Aptos" w:eastAsia="Aptos" w:hAnsi="Aptos" w:cs="Aptos"/>
      <w:color w:val="000000"/>
      <w:kern w:val="0"/>
      <w:u w:color="00000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F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E88"/>
  </w:style>
  <w:style w:type="paragraph" w:styleId="Pieddepage">
    <w:name w:val="footer"/>
    <w:basedOn w:val="Normal"/>
    <w:link w:val="PieddepageCar"/>
    <w:uiPriority w:val="99"/>
    <w:unhideWhenUsed/>
    <w:rsid w:val="00FF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E88"/>
  </w:style>
  <w:style w:type="character" w:styleId="Lienhypertexte">
    <w:name w:val="Hyperlink"/>
    <w:basedOn w:val="Policepardfaut"/>
    <w:uiPriority w:val="99"/>
    <w:unhideWhenUsed/>
    <w:rsid w:val="0023202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tion.centrepompidou.fr/education/ressources/ENS-architecture-Centre-Pompidou/comment_ca_vit/p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7659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Mancini</dc:creator>
  <cp:keywords/>
  <dc:description/>
  <cp:lastModifiedBy>Raphaelle Mancini</cp:lastModifiedBy>
  <cp:revision>2</cp:revision>
  <dcterms:created xsi:type="dcterms:W3CDTF">2026-06-19T18:46:00Z</dcterms:created>
  <dcterms:modified xsi:type="dcterms:W3CDTF">2026-06-19T18:46:00Z</dcterms:modified>
</cp:coreProperties>
</file>