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766A" w14:textId="77777777" w:rsidR="0079006C" w:rsidRDefault="0079006C" w:rsidP="0079006C">
      <w:pPr>
        <w:pStyle w:val="Sansinterligne"/>
        <w:ind w:left="-709"/>
        <w:rPr>
          <w:rFonts w:ascii="Arial" w:hAnsi="Arial" w:cs="Arial"/>
          <w:sz w:val="28"/>
          <w:szCs w:val="28"/>
        </w:rPr>
      </w:pPr>
      <w:r w:rsidRPr="00024BD0">
        <w:rPr>
          <w:rFonts w:ascii="Arial" w:hAnsi="Arial" w:cs="Arial"/>
          <w:noProof/>
          <w:sz w:val="28"/>
          <w:szCs w:val="28"/>
        </w:rPr>
        <w:drawing>
          <wp:inline distT="0" distB="0" distL="0" distR="0" wp14:anchorId="221A0D67" wp14:editId="5C80E5EF">
            <wp:extent cx="1804670" cy="956945"/>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4670" cy="956945"/>
                    </a:xfrm>
                    <a:prstGeom prst="rect">
                      <a:avLst/>
                    </a:prstGeom>
                    <a:noFill/>
                  </pic:spPr>
                </pic:pic>
              </a:graphicData>
            </a:graphic>
          </wp:inline>
        </w:drawing>
      </w:r>
    </w:p>
    <w:p w14:paraId="0B6AB45A" w14:textId="77777777" w:rsidR="0079006C" w:rsidRPr="00654D54" w:rsidRDefault="0079006C" w:rsidP="0079006C">
      <w:pPr>
        <w:pStyle w:val="Sansinterligne"/>
        <w:ind w:left="-709"/>
        <w:rPr>
          <w:rFonts w:ascii="Arial" w:hAnsi="Arial" w:cs="Arial"/>
          <w:sz w:val="20"/>
          <w:szCs w:val="20"/>
        </w:rPr>
      </w:pPr>
      <w:bookmarkStart w:id="0" w:name="_Hlk146629875"/>
      <w:r w:rsidRPr="00654D54">
        <w:rPr>
          <w:rFonts w:ascii="Arial" w:hAnsi="Arial" w:cs="Arial"/>
          <w:sz w:val="20"/>
          <w:szCs w:val="20"/>
        </w:rPr>
        <w:t>École supérieure d’art Avignon</w:t>
      </w:r>
    </w:p>
    <w:p w14:paraId="17958D21" w14:textId="77777777" w:rsidR="0079006C" w:rsidRPr="00654D54" w:rsidRDefault="0079006C" w:rsidP="0079006C">
      <w:pPr>
        <w:pStyle w:val="Sansinterligne"/>
        <w:ind w:left="-709"/>
        <w:rPr>
          <w:rFonts w:ascii="Arial" w:hAnsi="Arial" w:cs="Arial"/>
          <w:sz w:val="20"/>
          <w:szCs w:val="20"/>
        </w:rPr>
      </w:pPr>
      <w:r w:rsidRPr="00654D54">
        <w:rPr>
          <w:rFonts w:ascii="Arial" w:hAnsi="Arial" w:cs="Arial"/>
          <w:sz w:val="20"/>
          <w:szCs w:val="20"/>
        </w:rPr>
        <w:t xml:space="preserve">500 chemin de Baigne-Pieds  </w:t>
      </w:r>
    </w:p>
    <w:p w14:paraId="5F53F9D0" w14:textId="77777777" w:rsidR="0079006C" w:rsidRPr="00654D54" w:rsidRDefault="0079006C" w:rsidP="0079006C">
      <w:pPr>
        <w:pStyle w:val="Sansinterligne"/>
        <w:ind w:left="-709"/>
        <w:rPr>
          <w:rFonts w:ascii="Arial" w:hAnsi="Arial" w:cs="Arial"/>
          <w:sz w:val="20"/>
          <w:szCs w:val="20"/>
        </w:rPr>
      </w:pPr>
      <w:r w:rsidRPr="00654D54">
        <w:rPr>
          <w:rFonts w:ascii="Arial" w:hAnsi="Arial" w:cs="Arial"/>
          <w:sz w:val="20"/>
          <w:szCs w:val="20"/>
        </w:rPr>
        <w:t>84000 Avignon</w:t>
      </w:r>
    </w:p>
    <w:bookmarkEnd w:id="0"/>
    <w:p w14:paraId="33A37DB3" w14:textId="77777777" w:rsidR="0079006C" w:rsidRDefault="0079006C" w:rsidP="0079006C">
      <w:pPr>
        <w:pStyle w:val="Sansinterligne"/>
        <w:ind w:left="-709"/>
        <w:rPr>
          <w:rFonts w:ascii="Arial" w:hAnsi="Arial" w:cs="Arial"/>
          <w:sz w:val="20"/>
          <w:szCs w:val="20"/>
        </w:rPr>
      </w:pPr>
      <w:r w:rsidRPr="00654D54">
        <w:rPr>
          <w:rFonts w:ascii="Arial" w:hAnsi="Arial" w:cs="Arial"/>
          <w:sz w:val="20"/>
          <w:szCs w:val="20"/>
        </w:rPr>
        <w:t>Tel : 04 90 27 04 23</w:t>
      </w:r>
    </w:p>
    <w:p w14:paraId="207DFCCC" w14:textId="77777777" w:rsidR="0079006C" w:rsidRDefault="0079006C" w:rsidP="0079006C">
      <w:pPr>
        <w:pStyle w:val="Sansinterligne"/>
        <w:ind w:left="-709"/>
        <w:rPr>
          <w:rFonts w:ascii="Arial" w:hAnsi="Arial" w:cs="Arial"/>
          <w:sz w:val="20"/>
          <w:szCs w:val="20"/>
        </w:rPr>
      </w:pPr>
    </w:p>
    <w:p w14:paraId="51F4BF1F" w14:textId="0B1F6AA9" w:rsidR="0079006C" w:rsidRPr="00654D54" w:rsidRDefault="0079006C" w:rsidP="0079006C">
      <w:pPr>
        <w:pStyle w:val="Sansinterligne"/>
        <w:ind w:left="-709"/>
        <w:rPr>
          <w:rFonts w:ascii="Arial" w:hAnsi="Arial" w:cs="Arial"/>
          <w:sz w:val="20"/>
          <w:szCs w:val="20"/>
        </w:rPr>
      </w:pPr>
      <w:r>
        <w:rPr>
          <w:rFonts w:ascii="Arial" w:hAnsi="Arial" w:cs="Arial"/>
          <w:sz w:val="20"/>
          <w:szCs w:val="20"/>
        </w:rPr>
        <w:t>Le 23 avril 2026,</w:t>
      </w:r>
    </w:p>
    <w:p w14:paraId="50B835AC" w14:textId="77777777" w:rsidR="0079006C" w:rsidRDefault="0079006C" w:rsidP="0079006C">
      <w:pPr>
        <w:pStyle w:val="Sansinterligne"/>
        <w:jc w:val="center"/>
        <w:rPr>
          <w:b/>
          <w:bCs/>
        </w:rPr>
      </w:pPr>
    </w:p>
    <w:p w14:paraId="22167720" w14:textId="77777777" w:rsidR="0079006C" w:rsidRDefault="0079006C" w:rsidP="0079006C">
      <w:pPr>
        <w:pStyle w:val="Sansinterligne"/>
        <w:jc w:val="center"/>
        <w:rPr>
          <w:b/>
          <w:bCs/>
        </w:rPr>
      </w:pPr>
    </w:p>
    <w:p w14:paraId="2BD2A879" w14:textId="1F4FD142" w:rsidR="0079006C" w:rsidRPr="0079006C" w:rsidRDefault="0079006C" w:rsidP="0079006C">
      <w:pPr>
        <w:pStyle w:val="Sansinterligne"/>
        <w:jc w:val="center"/>
        <w:rPr>
          <w:rStyle w:val="Lienhypertexte"/>
          <w:b/>
          <w:bCs/>
        </w:rPr>
      </w:pPr>
      <w:r>
        <w:rPr>
          <w:b/>
          <w:bCs/>
        </w:rPr>
        <w:fldChar w:fldCharType="begin"/>
      </w:r>
      <w:r>
        <w:rPr>
          <w:b/>
          <w:bCs/>
        </w:rPr>
        <w:instrText>HYPERLINK "https://www.legifrance.gouv.fr/loda/id/LEGIARTI000050521300/2024-11-20"</w:instrText>
      </w:r>
      <w:r>
        <w:rPr>
          <w:b/>
          <w:bCs/>
        </w:rPr>
      </w:r>
      <w:r>
        <w:rPr>
          <w:b/>
          <w:bCs/>
        </w:rPr>
        <w:fldChar w:fldCharType="separate"/>
      </w:r>
    </w:p>
    <w:p w14:paraId="260D5427" w14:textId="5A5F7E9B" w:rsidR="00C31026" w:rsidRDefault="00C31026" w:rsidP="0079006C">
      <w:pPr>
        <w:pStyle w:val="Sansinterligne"/>
        <w:jc w:val="center"/>
        <w:rPr>
          <w:b/>
          <w:bCs/>
        </w:rPr>
      </w:pPr>
      <w:r w:rsidRPr="0079006C">
        <w:rPr>
          <w:rStyle w:val="Lienhypertexte"/>
          <w:b/>
          <w:bCs/>
        </w:rPr>
        <w:t>Référent déontologue</w:t>
      </w:r>
      <w:r w:rsidR="0079006C">
        <w:rPr>
          <w:b/>
          <w:bCs/>
        </w:rPr>
        <w:fldChar w:fldCharType="end"/>
      </w:r>
    </w:p>
    <w:p w14:paraId="5D3CAF8D" w14:textId="77777777" w:rsidR="0079006C" w:rsidRDefault="0079006C" w:rsidP="0079006C">
      <w:pPr>
        <w:pStyle w:val="Sansinterligne"/>
        <w:jc w:val="center"/>
        <w:rPr>
          <w:b/>
          <w:bCs/>
        </w:rPr>
      </w:pPr>
    </w:p>
    <w:p w14:paraId="1403532D" w14:textId="77777777" w:rsidR="0079006C" w:rsidRPr="0079006C" w:rsidRDefault="0079006C" w:rsidP="0079006C">
      <w:pPr>
        <w:pStyle w:val="Sansinterligne"/>
        <w:jc w:val="center"/>
        <w:rPr>
          <w:b/>
          <w:bCs/>
        </w:rPr>
      </w:pPr>
    </w:p>
    <w:p w14:paraId="0EDDA716" w14:textId="77777777" w:rsidR="0079006C" w:rsidRDefault="00C31026" w:rsidP="00C31026">
      <w:pPr>
        <w:pStyle w:val="Sansinterligne"/>
      </w:pPr>
      <w:r w:rsidRPr="00C31026">
        <w:t>Les autorités territoriales et les agents peuvent solliciter les deux référents déontologue fonction publique et laïcité du</w:t>
      </w:r>
      <w:r w:rsidR="0079006C">
        <w:t xml:space="preserve"> Centre de gestion de Vaucluse</w:t>
      </w:r>
      <w:r w:rsidRPr="00C31026">
        <w:t xml:space="preserve">. </w:t>
      </w:r>
    </w:p>
    <w:p w14:paraId="3C06EDA4" w14:textId="77777777" w:rsidR="0079006C" w:rsidRDefault="0079006C" w:rsidP="00C31026">
      <w:pPr>
        <w:pStyle w:val="Sansinterligne"/>
      </w:pPr>
    </w:p>
    <w:p w14:paraId="151D4F1B" w14:textId="1907583B" w:rsidR="00C31026" w:rsidRDefault="0079006C" w:rsidP="00C31026">
      <w:pPr>
        <w:pStyle w:val="Sansinterligne"/>
      </w:pPr>
      <w:r>
        <w:t xml:space="preserve">Texte de référence : </w:t>
      </w:r>
      <w:hyperlink r:id="rId8" w:history="1">
        <w:r w:rsidRPr="005C76CA">
          <w:rPr>
            <w:rStyle w:val="Lienhypertexte"/>
          </w:rPr>
          <w:t>https://www.legifrance.gouv.fr/loda/id/LEGIARTI000050521300/2024-11-20</w:t>
        </w:r>
      </w:hyperlink>
    </w:p>
    <w:p w14:paraId="7AE0F7E4" w14:textId="77777777" w:rsidR="0079006C" w:rsidRPr="00C31026" w:rsidRDefault="0079006C" w:rsidP="00C31026">
      <w:pPr>
        <w:pStyle w:val="Sansinterligne"/>
      </w:pPr>
    </w:p>
    <w:p w14:paraId="2148FE6D" w14:textId="77777777" w:rsidR="00C31026" w:rsidRDefault="00C31026" w:rsidP="00C31026">
      <w:pPr>
        <w:pStyle w:val="Sansinterligne"/>
        <w:rPr>
          <w:b/>
          <w:bCs/>
        </w:rPr>
      </w:pPr>
      <w:r w:rsidRPr="0079006C">
        <w:rPr>
          <w:b/>
          <w:bCs/>
        </w:rPr>
        <w:t>Saisir le référent déontologue</w:t>
      </w:r>
    </w:p>
    <w:p w14:paraId="6E2FECAA" w14:textId="77777777" w:rsidR="0079006C" w:rsidRPr="0079006C" w:rsidRDefault="0079006C" w:rsidP="00C31026">
      <w:pPr>
        <w:pStyle w:val="Sansinterligne"/>
        <w:rPr>
          <w:b/>
          <w:bCs/>
        </w:rPr>
      </w:pPr>
    </w:p>
    <w:p w14:paraId="0855548C" w14:textId="6302824F" w:rsidR="00C31026" w:rsidRPr="0079006C" w:rsidRDefault="00C31026" w:rsidP="0079006C">
      <w:pPr>
        <w:pStyle w:val="Sansinterligne"/>
        <w:numPr>
          <w:ilvl w:val="0"/>
          <w:numId w:val="3"/>
        </w:numPr>
        <w:rPr>
          <w:b/>
          <w:bCs/>
        </w:rPr>
      </w:pPr>
      <w:r w:rsidRPr="0079006C">
        <w:rPr>
          <w:b/>
          <w:bCs/>
        </w:rPr>
        <w:t>Les agents</w:t>
      </w:r>
      <w:r w:rsidR="0079006C" w:rsidRPr="0079006C">
        <w:rPr>
          <w:b/>
          <w:bCs/>
        </w:rPr>
        <w:t> :</w:t>
      </w:r>
    </w:p>
    <w:p w14:paraId="36E2CB7D" w14:textId="77777777" w:rsidR="0079006C" w:rsidRPr="00C31026" w:rsidRDefault="0079006C" w:rsidP="0079006C">
      <w:pPr>
        <w:pStyle w:val="Sansinterligne"/>
        <w:ind w:left="720"/>
      </w:pPr>
    </w:p>
    <w:p w14:paraId="4C993422" w14:textId="77777777" w:rsidR="00C31026" w:rsidRPr="00C31026" w:rsidRDefault="00C31026" w:rsidP="0079006C">
      <w:pPr>
        <w:pStyle w:val="Sansinterligne"/>
        <w:ind w:firstLine="360"/>
        <w:jc w:val="both"/>
      </w:pPr>
      <w:r w:rsidRPr="00C31026">
        <w:t>Tous les agents exerçant dans la fonction publique ont le droit de consulter un référent déontologue chargé de leur apporter tout conseil utile au respect des obligations et des principes déontologiques mentionnés dans le statut général des fonctionnaires (article L.124-2 du Code général de la fonction publique).</w:t>
      </w:r>
    </w:p>
    <w:p w14:paraId="2C71DBD0" w14:textId="77777777" w:rsidR="00C31026" w:rsidRPr="00C31026" w:rsidRDefault="00C31026" w:rsidP="0079006C">
      <w:pPr>
        <w:pStyle w:val="Sansinterligne"/>
        <w:jc w:val="both"/>
      </w:pPr>
    </w:p>
    <w:p w14:paraId="270A7DC6" w14:textId="4044A74D" w:rsidR="00C31026" w:rsidRPr="00C31026" w:rsidRDefault="00C31026" w:rsidP="0079006C">
      <w:pPr>
        <w:pStyle w:val="Sansinterligne"/>
        <w:jc w:val="both"/>
      </w:pPr>
      <w:r w:rsidRPr="00C31026">
        <w:t>Les référents déontologues répondent directement aux questions que peuvent poser les agents pour respecter ces principes déontologiques et connaître les bonnes pratiques en la matière. Leur champ d’intervention est donc large</w:t>
      </w:r>
      <w:r w:rsidRPr="00C31026">
        <w:rPr>
          <w:rFonts w:ascii="Arial" w:hAnsi="Arial" w:cs="Arial"/>
        </w:rPr>
        <w:t> </w:t>
      </w:r>
      <w:r w:rsidRPr="00C31026">
        <w:t>: cumul d</w:t>
      </w:r>
      <w:r w:rsidRPr="00C31026">
        <w:rPr>
          <w:rFonts w:ascii="Aptos" w:hAnsi="Aptos" w:cs="Aptos"/>
        </w:rPr>
        <w:t>’</w:t>
      </w:r>
      <w:r w:rsidRPr="00C31026">
        <w:t>activit</w:t>
      </w:r>
      <w:r w:rsidRPr="00C31026">
        <w:rPr>
          <w:rFonts w:ascii="Aptos" w:hAnsi="Aptos" w:cs="Aptos"/>
        </w:rPr>
        <w:t>é</w:t>
      </w:r>
      <w:r w:rsidRPr="00C31026">
        <w:t>s, conflit d</w:t>
      </w:r>
      <w:r w:rsidRPr="00C31026">
        <w:rPr>
          <w:rFonts w:ascii="Aptos" w:hAnsi="Aptos" w:cs="Aptos"/>
        </w:rPr>
        <w:t>’</w:t>
      </w:r>
      <w:r w:rsidRPr="00C31026">
        <w:t>int</w:t>
      </w:r>
      <w:r w:rsidRPr="00C31026">
        <w:rPr>
          <w:rFonts w:ascii="Aptos" w:hAnsi="Aptos" w:cs="Aptos"/>
        </w:rPr>
        <w:t>é</w:t>
      </w:r>
      <w:r w:rsidRPr="00C31026">
        <w:t>r</w:t>
      </w:r>
      <w:r w:rsidRPr="00C31026">
        <w:rPr>
          <w:rFonts w:ascii="Aptos" w:hAnsi="Aptos" w:cs="Aptos"/>
        </w:rPr>
        <w:t>ê</w:t>
      </w:r>
      <w:r w:rsidRPr="00C31026">
        <w:t xml:space="preserve">ts, respect des obligations statutaires, </w:t>
      </w:r>
      <w:r w:rsidR="0079006C">
        <w:t xml:space="preserve">laïcité, </w:t>
      </w:r>
      <w:r w:rsidRPr="00C31026">
        <w:t xml:space="preserve">etc. </w:t>
      </w:r>
    </w:p>
    <w:p w14:paraId="5887EC25" w14:textId="77777777" w:rsidR="00C31026" w:rsidRPr="00C31026" w:rsidRDefault="00C31026" w:rsidP="00C31026">
      <w:pPr>
        <w:pStyle w:val="Sansinterligne"/>
      </w:pPr>
    </w:p>
    <w:p w14:paraId="60994E68" w14:textId="77777777" w:rsidR="00C31026" w:rsidRPr="00C31026" w:rsidRDefault="00C31026" w:rsidP="00C31026">
      <w:pPr>
        <w:pStyle w:val="Sansinterligne"/>
      </w:pPr>
    </w:p>
    <w:p w14:paraId="3CFAD854" w14:textId="1CAE0190" w:rsidR="00C31026" w:rsidRDefault="00C31026" w:rsidP="0079006C">
      <w:pPr>
        <w:pStyle w:val="Sansinterligne"/>
        <w:numPr>
          <w:ilvl w:val="0"/>
          <w:numId w:val="3"/>
        </w:numPr>
        <w:rPr>
          <w:b/>
          <w:bCs/>
        </w:rPr>
      </w:pPr>
      <w:r w:rsidRPr="00C31026">
        <w:rPr>
          <w:b/>
          <w:bCs/>
        </w:rPr>
        <w:t>Les élus</w:t>
      </w:r>
      <w:r w:rsidR="0079006C">
        <w:rPr>
          <w:b/>
          <w:bCs/>
        </w:rPr>
        <w:t> :</w:t>
      </w:r>
    </w:p>
    <w:p w14:paraId="4AD1C508" w14:textId="77777777" w:rsidR="0079006C" w:rsidRPr="00C31026" w:rsidRDefault="0079006C" w:rsidP="0079006C">
      <w:pPr>
        <w:pStyle w:val="Sansinterligne"/>
        <w:ind w:left="720"/>
        <w:rPr>
          <w:b/>
          <w:bCs/>
        </w:rPr>
      </w:pPr>
    </w:p>
    <w:p w14:paraId="1F865F29" w14:textId="77777777" w:rsidR="0079006C" w:rsidRDefault="00C31026" w:rsidP="0079006C">
      <w:pPr>
        <w:pStyle w:val="Sansinterligne"/>
        <w:ind w:firstLine="360"/>
        <w:jc w:val="both"/>
      </w:pPr>
      <w:r w:rsidRPr="00C31026">
        <w:t>Pris en application de l’article 218 de la loi « 3DS » du 21 février 2022, le décret sur la désignation du référent déontologue de l’élu local est paru au journal officiel du 7 décembre 2022. Il impose, à partir du 1er juin 2023, à toute collectivité territoriale, tout groupement de collectivités territoriales ou syndicats mixtes ouverts de désigner un référent déontologue par délibération. </w:t>
      </w:r>
    </w:p>
    <w:p w14:paraId="7E49EA39" w14:textId="00FD7440" w:rsidR="00C31026" w:rsidRPr="00C31026" w:rsidRDefault="00C31026" w:rsidP="0079006C">
      <w:pPr>
        <w:pStyle w:val="Sansinterligne"/>
        <w:ind w:firstLine="360"/>
        <w:jc w:val="both"/>
      </w:pPr>
      <w:r w:rsidRPr="00C31026">
        <w:br/>
        <w:t>Tout élu local peut consulter un référent déontologue chargé de lui apporter tout conseil utile au respect des principes déontologiques consacrés par la charte de l’élu local. Tenu au secret professionnel et à la discrétion, le référent déontologue doit exercer ses missions en toute indépendance et impartialité</w:t>
      </w:r>
      <w:r w:rsidR="0079006C">
        <w:t>.</w:t>
      </w:r>
    </w:p>
    <w:p w14:paraId="7A63A8A7" w14:textId="7B1F41C6" w:rsidR="00C31026" w:rsidRDefault="00C31026" w:rsidP="0079006C">
      <w:pPr>
        <w:pStyle w:val="Sansinterligne"/>
        <w:ind w:left="426"/>
        <w:rPr>
          <w:b/>
          <w:bCs/>
        </w:rPr>
      </w:pPr>
      <w:r w:rsidRPr="00C31026">
        <w:rPr>
          <w:b/>
          <w:bCs/>
        </w:rPr>
        <w:br/>
      </w:r>
      <w:r w:rsidR="0079006C">
        <w:rPr>
          <w:b/>
          <w:bCs/>
        </w:rPr>
        <w:t xml:space="preserve">-      </w:t>
      </w:r>
      <w:r w:rsidRPr="00C31026">
        <w:rPr>
          <w:b/>
          <w:bCs/>
        </w:rPr>
        <w:t>L'autorité territoriale</w:t>
      </w:r>
      <w:r w:rsidR="0079006C">
        <w:rPr>
          <w:b/>
          <w:bCs/>
        </w:rPr>
        <w:t> :</w:t>
      </w:r>
    </w:p>
    <w:p w14:paraId="3368C12B" w14:textId="77777777" w:rsidR="0079006C" w:rsidRPr="00C31026" w:rsidRDefault="0079006C" w:rsidP="00C31026">
      <w:pPr>
        <w:pStyle w:val="Sansinterligne"/>
        <w:rPr>
          <w:b/>
          <w:bCs/>
        </w:rPr>
      </w:pPr>
    </w:p>
    <w:p w14:paraId="5C4A0BDF" w14:textId="77777777" w:rsidR="00C31026" w:rsidRDefault="00C31026" w:rsidP="00C31026">
      <w:pPr>
        <w:pStyle w:val="Sansinterligne"/>
      </w:pPr>
      <w:r w:rsidRPr="00C31026">
        <w:t>Le référent déontologue pour la fonction publique peut être saisi par une autorité territoriale dans le cadre des contrôles déontologiques dans la fonction publique. </w:t>
      </w:r>
    </w:p>
    <w:p w14:paraId="0E075D64" w14:textId="77777777" w:rsidR="00A17317" w:rsidRDefault="00A17317" w:rsidP="00C31026">
      <w:pPr>
        <w:pStyle w:val="Sansinterligne"/>
      </w:pPr>
    </w:p>
    <w:p w14:paraId="6862D476" w14:textId="77777777" w:rsidR="00A17317" w:rsidRDefault="00A17317" w:rsidP="00C31026">
      <w:pPr>
        <w:pStyle w:val="Sansinterligne"/>
      </w:pPr>
    </w:p>
    <w:p w14:paraId="177D170E" w14:textId="77777777" w:rsidR="00A17317" w:rsidRDefault="00A17317" w:rsidP="00C31026">
      <w:pPr>
        <w:pStyle w:val="Sansinterligne"/>
      </w:pPr>
    </w:p>
    <w:p w14:paraId="184F9637" w14:textId="77777777" w:rsidR="00A17317" w:rsidRPr="00C31026" w:rsidRDefault="00A17317" w:rsidP="00C31026">
      <w:pPr>
        <w:pStyle w:val="Sansinterligne"/>
      </w:pPr>
    </w:p>
    <w:p w14:paraId="1FB657EF" w14:textId="77777777" w:rsidR="00C31026" w:rsidRPr="00C31026" w:rsidRDefault="00C31026" w:rsidP="00C31026">
      <w:pPr>
        <w:pStyle w:val="Sansinterligne"/>
      </w:pPr>
      <w:r w:rsidRPr="00C31026">
        <w:t>Le référents déontologues rendent un avis aux employeurs territoriaux dans les situations suivantes :</w:t>
      </w:r>
    </w:p>
    <w:p w14:paraId="144A42B2" w14:textId="77777777" w:rsidR="00A17317" w:rsidRDefault="00A17317" w:rsidP="00C31026"/>
    <w:p w14:paraId="67A1E284" w14:textId="79282617" w:rsidR="00C31026" w:rsidRDefault="00C31026" w:rsidP="00C31026">
      <w:r w:rsidRPr="00C31026">
        <w:rPr>
          <w:noProof/>
        </w:rPr>
        <w:drawing>
          <wp:inline distT="0" distB="0" distL="0" distR="0" wp14:anchorId="2FD3B5DF" wp14:editId="77F210B8">
            <wp:extent cx="5760720" cy="3023870"/>
            <wp:effectExtent l="0" t="0" r="0" b="5080"/>
            <wp:docPr id="18429099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09992" name=""/>
                    <pic:cNvPicPr/>
                  </pic:nvPicPr>
                  <pic:blipFill>
                    <a:blip r:embed="rId9"/>
                    <a:stretch>
                      <a:fillRect/>
                    </a:stretch>
                  </pic:blipFill>
                  <pic:spPr>
                    <a:xfrm>
                      <a:off x="0" y="0"/>
                      <a:ext cx="5760720" cy="3023870"/>
                    </a:xfrm>
                    <a:prstGeom prst="rect">
                      <a:avLst/>
                    </a:prstGeom>
                  </pic:spPr>
                </pic:pic>
              </a:graphicData>
            </a:graphic>
          </wp:inline>
        </w:drawing>
      </w:r>
    </w:p>
    <w:p w14:paraId="024CA65B" w14:textId="7ED1F79E" w:rsidR="00C31026" w:rsidRPr="00A17317" w:rsidRDefault="00C31026" w:rsidP="00C31026"/>
    <w:p w14:paraId="1D38562B" w14:textId="10ADBE1F" w:rsidR="00C31026" w:rsidRPr="00A17317" w:rsidRDefault="00A17317" w:rsidP="00C31026">
      <w:pPr>
        <w:rPr>
          <w:noProof/>
        </w:rPr>
      </w:pPr>
      <w:r w:rsidRPr="00A17317">
        <w:rPr>
          <w:noProof/>
        </w:rPr>
        <w:t>Pour l’ESAA, compte-tenu de son affiliation au Centre de Gestion de Vaucluse, les référents déontologues sont (délibération du CDG de Vaucluse du 22 juin 2023):</w:t>
      </w:r>
    </w:p>
    <w:p w14:paraId="24519F5D" w14:textId="0FD6FDCA" w:rsidR="00A17317" w:rsidRPr="00A17317" w:rsidRDefault="00A17317" w:rsidP="00C31026">
      <w:pPr>
        <w:rPr>
          <w:b/>
          <w:bCs/>
          <w:noProof/>
        </w:rPr>
      </w:pPr>
      <w:r w:rsidRPr="00A17317">
        <w:rPr>
          <w:b/>
          <w:bCs/>
          <w:noProof/>
        </w:rPr>
        <w:t>-Monsieur Philippe Peretti, magistrat administratif ;</w:t>
      </w:r>
    </w:p>
    <w:p w14:paraId="46662423" w14:textId="417B3E74" w:rsidR="00A17317" w:rsidRPr="00A17317" w:rsidRDefault="00A17317" w:rsidP="00C31026">
      <w:pPr>
        <w:rPr>
          <w:b/>
          <w:bCs/>
          <w:noProof/>
        </w:rPr>
      </w:pPr>
      <w:r w:rsidRPr="00A17317">
        <w:rPr>
          <w:b/>
          <w:bCs/>
          <w:noProof/>
        </w:rPr>
        <w:t>-Madame Josiane Haas-Falanga, fonctionnaire d’état à la retraite.</w:t>
      </w:r>
    </w:p>
    <w:p w14:paraId="51C4DA9D" w14:textId="3017CB32" w:rsidR="00A17317" w:rsidRDefault="00A17317" w:rsidP="00C31026"/>
    <w:sectPr w:rsidR="00A17317" w:rsidSect="0079006C">
      <w:footerReference w:type="default" r:id="rId10"/>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3086" w14:textId="77777777" w:rsidR="008E7614" w:rsidRDefault="008E7614" w:rsidP="00A17317">
      <w:pPr>
        <w:spacing w:after="0" w:line="240" w:lineRule="auto"/>
      </w:pPr>
      <w:r>
        <w:separator/>
      </w:r>
    </w:p>
  </w:endnote>
  <w:endnote w:type="continuationSeparator" w:id="0">
    <w:p w14:paraId="18057B33" w14:textId="77777777" w:rsidR="008E7614" w:rsidRDefault="008E7614" w:rsidP="00A1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128823"/>
      <w:docPartObj>
        <w:docPartGallery w:val="Page Numbers (Bottom of Page)"/>
        <w:docPartUnique/>
      </w:docPartObj>
    </w:sdtPr>
    <w:sdtContent>
      <w:p w14:paraId="6026BCA9" w14:textId="09736E45" w:rsidR="00A17317" w:rsidRDefault="00A17317">
        <w:pPr>
          <w:pStyle w:val="Pieddepage"/>
          <w:jc w:val="right"/>
        </w:pPr>
        <w:r>
          <w:fldChar w:fldCharType="begin"/>
        </w:r>
        <w:r>
          <w:instrText>PAGE   \* MERGEFORMAT</w:instrText>
        </w:r>
        <w:r>
          <w:fldChar w:fldCharType="separate"/>
        </w:r>
        <w:r>
          <w:t>2</w:t>
        </w:r>
        <w:r>
          <w:fldChar w:fldCharType="end"/>
        </w:r>
      </w:p>
    </w:sdtContent>
  </w:sdt>
  <w:p w14:paraId="3DCB8E65" w14:textId="77777777" w:rsidR="00A17317" w:rsidRDefault="00A173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9F38" w14:textId="77777777" w:rsidR="008E7614" w:rsidRDefault="008E7614" w:rsidP="00A17317">
      <w:pPr>
        <w:spacing w:after="0" w:line="240" w:lineRule="auto"/>
      </w:pPr>
      <w:r>
        <w:separator/>
      </w:r>
    </w:p>
  </w:footnote>
  <w:footnote w:type="continuationSeparator" w:id="0">
    <w:p w14:paraId="48F5684E" w14:textId="77777777" w:rsidR="008E7614" w:rsidRDefault="008E7614" w:rsidP="00A1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B1A01"/>
    <w:multiLevelType w:val="multilevel"/>
    <w:tmpl w:val="A482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B0D71"/>
    <w:multiLevelType w:val="multilevel"/>
    <w:tmpl w:val="BDA0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7A6343"/>
    <w:multiLevelType w:val="hybridMultilevel"/>
    <w:tmpl w:val="810C1224"/>
    <w:lvl w:ilvl="0" w:tplc="B8AC2A92">
      <w:start w:val="2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6316585">
    <w:abstractNumId w:val="0"/>
  </w:num>
  <w:num w:numId="2" w16cid:durableId="230819011">
    <w:abstractNumId w:val="1"/>
  </w:num>
  <w:num w:numId="3" w16cid:durableId="417215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26"/>
    <w:rsid w:val="001008BC"/>
    <w:rsid w:val="00391D62"/>
    <w:rsid w:val="005940F1"/>
    <w:rsid w:val="00644BAC"/>
    <w:rsid w:val="0079006C"/>
    <w:rsid w:val="00860015"/>
    <w:rsid w:val="008E7614"/>
    <w:rsid w:val="00A17317"/>
    <w:rsid w:val="00C31026"/>
    <w:rsid w:val="00F60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FB7D"/>
  <w15:chartTrackingRefBased/>
  <w15:docId w15:val="{A121E9A9-26BC-4672-AB62-C2715856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1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1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10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10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10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10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10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10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10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10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10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10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10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10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10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10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10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1026"/>
    <w:rPr>
      <w:rFonts w:eastAsiaTheme="majorEastAsia" w:cstheme="majorBidi"/>
      <w:color w:val="272727" w:themeColor="text1" w:themeTint="D8"/>
    </w:rPr>
  </w:style>
  <w:style w:type="paragraph" w:styleId="Titre">
    <w:name w:val="Title"/>
    <w:basedOn w:val="Normal"/>
    <w:next w:val="Normal"/>
    <w:link w:val="TitreCar"/>
    <w:uiPriority w:val="10"/>
    <w:qFormat/>
    <w:rsid w:val="00C31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10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10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10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1026"/>
    <w:pPr>
      <w:spacing w:before="160"/>
      <w:jc w:val="center"/>
    </w:pPr>
    <w:rPr>
      <w:i/>
      <w:iCs/>
      <w:color w:val="404040" w:themeColor="text1" w:themeTint="BF"/>
    </w:rPr>
  </w:style>
  <w:style w:type="character" w:customStyle="1" w:styleId="CitationCar">
    <w:name w:val="Citation Car"/>
    <w:basedOn w:val="Policepardfaut"/>
    <w:link w:val="Citation"/>
    <w:uiPriority w:val="29"/>
    <w:rsid w:val="00C31026"/>
    <w:rPr>
      <w:i/>
      <w:iCs/>
      <w:color w:val="404040" w:themeColor="text1" w:themeTint="BF"/>
    </w:rPr>
  </w:style>
  <w:style w:type="paragraph" w:styleId="Paragraphedeliste">
    <w:name w:val="List Paragraph"/>
    <w:basedOn w:val="Normal"/>
    <w:uiPriority w:val="34"/>
    <w:qFormat/>
    <w:rsid w:val="00C31026"/>
    <w:pPr>
      <w:ind w:left="720"/>
      <w:contextualSpacing/>
    </w:pPr>
  </w:style>
  <w:style w:type="character" w:styleId="Accentuationintense">
    <w:name w:val="Intense Emphasis"/>
    <w:basedOn w:val="Policepardfaut"/>
    <w:uiPriority w:val="21"/>
    <w:qFormat/>
    <w:rsid w:val="00C31026"/>
    <w:rPr>
      <w:i/>
      <w:iCs/>
      <w:color w:val="0F4761" w:themeColor="accent1" w:themeShade="BF"/>
    </w:rPr>
  </w:style>
  <w:style w:type="paragraph" w:styleId="Citationintense">
    <w:name w:val="Intense Quote"/>
    <w:basedOn w:val="Normal"/>
    <w:next w:val="Normal"/>
    <w:link w:val="CitationintenseCar"/>
    <w:uiPriority w:val="30"/>
    <w:qFormat/>
    <w:rsid w:val="00C31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1026"/>
    <w:rPr>
      <w:i/>
      <w:iCs/>
      <w:color w:val="0F4761" w:themeColor="accent1" w:themeShade="BF"/>
    </w:rPr>
  </w:style>
  <w:style w:type="character" w:styleId="Rfrenceintense">
    <w:name w:val="Intense Reference"/>
    <w:basedOn w:val="Policepardfaut"/>
    <w:uiPriority w:val="32"/>
    <w:qFormat/>
    <w:rsid w:val="00C31026"/>
    <w:rPr>
      <w:b/>
      <w:bCs/>
      <w:smallCaps/>
      <w:color w:val="0F4761" w:themeColor="accent1" w:themeShade="BF"/>
      <w:spacing w:val="5"/>
    </w:rPr>
  </w:style>
  <w:style w:type="paragraph" w:styleId="Sansinterligne">
    <w:name w:val="No Spacing"/>
    <w:uiPriority w:val="1"/>
    <w:qFormat/>
    <w:rsid w:val="00C31026"/>
    <w:pPr>
      <w:spacing w:after="0" w:line="240" w:lineRule="auto"/>
    </w:pPr>
  </w:style>
  <w:style w:type="character" w:styleId="Lienhypertexte">
    <w:name w:val="Hyperlink"/>
    <w:basedOn w:val="Policepardfaut"/>
    <w:uiPriority w:val="99"/>
    <w:unhideWhenUsed/>
    <w:rsid w:val="0079006C"/>
    <w:rPr>
      <w:color w:val="467886" w:themeColor="hyperlink"/>
      <w:u w:val="single"/>
    </w:rPr>
  </w:style>
  <w:style w:type="character" w:styleId="Mentionnonrsolue">
    <w:name w:val="Unresolved Mention"/>
    <w:basedOn w:val="Policepardfaut"/>
    <w:uiPriority w:val="99"/>
    <w:semiHidden/>
    <w:unhideWhenUsed/>
    <w:rsid w:val="0079006C"/>
    <w:rPr>
      <w:color w:val="605E5C"/>
      <w:shd w:val="clear" w:color="auto" w:fill="E1DFDD"/>
    </w:rPr>
  </w:style>
  <w:style w:type="paragraph" w:styleId="En-tte">
    <w:name w:val="header"/>
    <w:basedOn w:val="Normal"/>
    <w:link w:val="En-tteCar"/>
    <w:uiPriority w:val="99"/>
    <w:unhideWhenUsed/>
    <w:rsid w:val="00A17317"/>
    <w:pPr>
      <w:tabs>
        <w:tab w:val="center" w:pos="4536"/>
        <w:tab w:val="right" w:pos="9072"/>
      </w:tabs>
      <w:spacing w:after="0" w:line="240" w:lineRule="auto"/>
    </w:pPr>
  </w:style>
  <w:style w:type="character" w:customStyle="1" w:styleId="En-tteCar">
    <w:name w:val="En-tête Car"/>
    <w:basedOn w:val="Policepardfaut"/>
    <w:link w:val="En-tte"/>
    <w:uiPriority w:val="99"/>
    <w:rsid w:val="00A17317"/>
  </w:style>
  <w:style w:type="paragraph" w:styleId="Pieddepage">
    <w:name w:val="footer"/>
    <w:basedOn w:val="Normal"/>
    <w:link w:val="PieddepageCar"/>
    <w:uiPriority w:val="99"/>
    <w:unhideWhenUsed/>
    <w:rsid w:val="00A173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id/LEGIARTI000050521300/2024-11-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2169</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Mancini</dc:creator>
  <cp:keywords/>
  <dc:description/>
  <cp:lastModifiedBy>Raphaelle Mancini</cp:lastModifiedBy>
  <cp:revision>2</cp:revision>
  <dcterms:created xsi:type="dcterms:W3CDTF">2026-04-23T08:00:00Z</dcterms:created>
  <dcterms:modified xsi:type="dcterms:W3CDTF">2026-04-23T08:00:00Z</dcterms:modified>
</cp:coreProperties>
</file>